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9365" w:type="dxa"/>
        <w:jc w:val="center"/>
        <w:tblLook w:val="04A0" w:firstRow="1" w:lastRow="0" w:firstColumn="1" w:lastColumn="0" w:noHBand="0" w:noVBand="1"/>
      </w:tblPr>
      <w:tblGrid>
        <w:gridCol w:w="9365"/>
      </w:tblGrid>
      <w:tr w:rsidR="008D2DF0" w:rsidTr="008D2DF0">
        <w:trPr>
          <w:trHeight w:val="360"/>
          <w:jc w:val="center"/>
        </w:trPr>
        <w:tc>
          <w:tcPr>
            <w:tcW w:w="9365" w:type="dxa"/>
            <w:hideMark/>
          </w:tcPr>
          <w:p w:rsidR="008D2DF0" w:rsidRDefault="000343E1" w:rsidP="008E5AC8">
            <w:pPr>
              <w:suppressLineNumbers/>
              <w:spacing w:after="120"/>
              <w:ind w:left="319"/>
              <w:rPr>
                <w:b/>
                <w:bCs/>
              </w:rPr>
            </w:pPr>
            <w:r>
              <w:rPr>
                <w:rFonts w:hint="cs"/>
                <w:b/>
                <w:bCs/>
                <w:rtl/>
              </w:rPr>
              <w:t>לפני  הרכב כבוד השופטים:</w:t>
            </w:r>
          </w:p>
          <w:p w:rsidR="008D2DF0" w:rsidRDefault="000343E1" w:rsidP="008E5AC8">
            <w:pPr>
              <w:suppressLineNumbers/>
              <w:spacing w:after="120"/>
              <w:ind w:left="319"/>
              <w:rPr>
                <w:b/>
                <w:bCs/>
                <w:rtl/>
              </w:rPr>
            </w:pPr>
            <w:r>
              <w:rPr>
                <w:rFonts w:hint="cs"/>
                <w:b/>
                <w:bCs/>
                <w:rtl/>
              </w:rPr>
              <w:t>חננאל שרעבי [אב"ד]</w:t>
            </w:r>
          </w:p>
          <w:p w:rsidR="008D2DF0" w:rsidRDefault="000343E1" w:rsidP="008E5AC8">
            <w:pPr>
              <w:suppressLineNumbers/>
              <w:spacing w:after="120"/>
              <w:ind w:left="319"/>
              <w:rPr>
                <w:b/>
                <w:bCs/>
                <w:rtl/>
              </w:rPr>
            </w:pPr>
            <w:r>
              <w:rPr>
                <w:rFonts w:hint="cs"/>
                <w:b/>
                <w:bCs/>
                <w:rtl/>
              </w:rPr>
              <w:t>אספרנצה אלון</w:t>
            </w:r>
          </w:p>
          <w:p w:rsidR="008D2DF0" w:rsidRDefault="00F50855" w:rsidP="008E5AC8">
            <w:pPr>
              <w:suppressLineNumbers/>
              <w:spacing w:after="120"/>
              <w:ind w:left="319"/>
              <w:rPr>
                <w:b/>
                <w:bCs/>
                <w:rtl/>
              </w:rPr>
            </w:pPr>
            <w:sdt>
              <w:sdtPr>
                <w:rPr>
                  <w:rFonts w:hint="cs"/>
                  <w:rtl/>
                </w:rPr>
                <w:alias w:val="165"/>
                <w:tag w:val="165"/>
                <w:id w:val="584732177"/>
                <w:text w:multiLine="1"/>
              </w:sdtPr>
              <w:sdtEndPr/>
              <w:sdtContent>
                <w:r w:rsidR="000343E1">
                  <w:rPr>
                    <w:rFonts w:hint="cs"/>
                    <w:b/>
                    <w:bCs/>
                    <w:rtl/>
                  </w:rPr>
                  <w:t>אריה נאמן</w:t>
                </w:r>
              </w:sdtContent>
            </w:sdt>
          </w:p>
        </w:tc>
      </w:tr>
    </w:tbl>
    <w:tbl>
      <w:tblPr>
        <w:tblStyle w:val="a9"/>
        <w:bidiVisual/>
        <w:tblW w:w="9279"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4"/>
        <w:gridCol w:w="3212"/>
        <w:gridCol w:w="6033"/>
      </w:tblGrid>
      <w:tr w:rsidR="008D2DF0" w:rsidTr="00443BFF">
        <w:tc>
          <w:tcPr>
            <w:tcW w:w="3246" w:type="dxa"/>
            <w:gridSpan w:val="2"/>
          </w:tcPr>
          <w:p w:rsidR="008D2DF0" w:rsidRDefault="00F50855">
            <w:pPr>
              <w:suppressLineNumbers/>
              <w:rPr>
                <w:rFonts w:ascii="David" w:eastAsia="David" w:hAnsi="David"/>
                <w:b/>
                <w:bCs/>
              </w:rPr>
            </w:pPr>
          </w:p>
          <w:p w:rsidR="008D2DF0" w:rsidRDefault="000343E1">
            <w:pPr>
              <w:suppressLineNumbers/>
              <w:rPr>
                <w:rFonts w:ascii="David" w:eastAsia="David" w:hAnsi="David"/>
                <w:b/>
                <w:bCs/>
                <w:rtl/>
              </w:rPr>
            </w:pPr>
            <w:r>
              <w:rPr>
                <w:rFonts w:ascii="David" w:eastAsia="David" w:hAnsi="David" w:hint="cs"/>
                <w:b/>
                <w:bCs/>
                <w:rtl/>
              </w:rPr>
              <w:t>ה</w:t>
            </w:r>
            <w:sdt>
              <w:sdtPr>
                <w:rPr>
                  <w:b/>
                  <w:bCs/>
                  <w:rtl/>
                </w:rPr>
                <w:alias w:val="1264"/>
                <w:tag w:val="1264"/>
                <w:id w:val="748628538"/>
                <w:placeholder>
                  <w:docPart w:val="1FEEF0C217D24AEB97258FA736580075"/>
                </w:placeholder>
                <w:text w:multiLine="1"/>
              </w:sdtPr>
              <w:sdtEndPr/>
              <w:sdtContent>
                <w:r>
                  <w:rPr>
                    <w:rFonts w:ascii="David" w:eastAsia="David" w:hAnsi="David"/>
                    <w:b/>
                    <w:bCs/>
                    <w:rtl/>
                  </w:rPr>
                  <w:t>מערערת</w:t>
                </w:r>
              </w:sdtContent>
            </w:sdt>
          </w:p>
        </w:tc>
        <w:tc>
          <w:tcPr>
            <w:tcW w:w="6033" w:type="dxa"/>
          </w:tcPr>
          <w:p w:rsidR="008D2DF0" w:rsidRDefault="00F50855">
            <w:pPr>
              <w:suppressLineNumbers/>
              <w:rPr>
                <w:b/>
                <w:bCs/>
                <w:rtl/>
              </w:rPr>
            </w:pPr>
          </w:p>
          <w:p w:rsidR="008D2DF0" w:rsidRDefault="000343E1" w:rsidP="002B2EEF">
            <w:pPr>
              <w:suppressLineNumbers/>
              <w:spacing w:after="120"/>
              <w:rPr>
                <w:rtl/>
              </w:rPr>
            </w:pPr>
            <w:r>
              <w:rPr>
                <w:rFonts w:ascii="David" w:eastAsia="David" w:hAnsi="David" w:hint="cs"/>
                <w:b/>
                <w:bCs/>
                <w:rtl/>
              </w:rPr>
              <w:t xml:space="preserve"> </w:t>
            </w:r>
            <w:r w:rsidR="002B2EEF">
              <w:rPr>
                <w:rFonts w:ascii="David" w:eastAsia="David" w:hAnsi="David" w:hint="cs"/>
                <w:b/>
                <w:bCs/>
                <w:rtl/>
              </w:rPr>
              <w:t>ס. ד. ט</w:t>
            </w:r>
          </w:p>
          <w:p w:rsidR="008D2DF0" w:rsidRDefault="00443BFF" w:rsidP="00443BFF">
            <w:pPr>
              <w:suppressLineNumbers/>
              <w:spacing w:after="120"/>
              <w:rPr>
                <w:rFonts w:ascii="David" w:eastAsia="David" w:hAnsi="David"/>
                <w:b/>
                <w:bCs/>
              </w:rPr>
            </w:pPr>
            <w:r>
              <w:rPr>
                <w:b/>
                <w:bCs/>
                <w:rtl/>
              </w:rPr>
              <w:t xml:space="preserve">ע"י ב"כ עו"ד דליה אבני וינשטיין – </w:t>
            </w:r>
            <w:r>
              <w:rPr>
                <w:rFonts w:hint="cs"/>
                <w:b/>
                <w:bCs/>
                <w:rtl/>
              </w:rPr>
              <w:t>ב</w:t>
            </w:r>
            <w:r>
              <w:rPr>
                <w:b/>
                <w:bCs/>
                <w:rtl/>
              </w:rPr>
              <w:t xml:space="preserve">מינוי </w:t>
            </w:r>
            <w:r>
              <w:rPr>
                <w:rFonts w:hint="cs"/>
                <w:b/>
                <w:bCs/>
                <w:rtl/>
              </w:rPr>
              <w:t>הלשכה לסיוע משפטי</w:t>
            </w:r>
          </w:p>
        </w:tc>
      </w:tr>
      <w:tr w:rsidR="008D2DF0" w:rsidTr="00443BFF">
        <w:tc>
          <w:tcPr>
            <w:tcW w:w="9279" w:type="dxa"/>
            <w:gridSpan w:val="3"/>
          </w:tcPr>
          <w:p w:rsidR="008D2DF0" w:rsidRDefault="00F50855">
            <w:pPr>
              <w:suppressLineNumbers/>
              <w:rPr>
                <w:rFonts w:ascii="David" w:eastAsia="David" w:hAnsi="David"/>
                <w:b/>
                <w:bCs/>
                <w:rtl/>
              </w:rPr>
            </w:pPr>
          </w:p>
          <w:p w:rsidR="008D2DF0" w:rsidRDefault="000343E1" w:rsidP="008E5AC8">
            <w:pPr>
              <w:suppressLineNumbers/>
              <w:spacing w:after="120"/>
              <w:jc w:val="center"/>
              <w:rPr>
                <w:rFonts w:ascii="David" w:eastAsia="David" w:hAnsi="David"/>
                <w:b/>
                <w:bCs/>
                <w:rtl/>
              </w:rPr>
            </w:pPr>
            <w:r>
              <w:rPr>
                <w:rFonts w:ascii="David" w:eastAsia="David" w:hAnsi="David" w:hint="cs"/>
                <w:b/>
                <w:bCs/>
                <w:rtl/>
              </w:rPr>
              <w:t>נגד</w:t>
            </w:r>
          </w:p>
          <w:p w:rsidR="008D2DF0" w:rsidRDefault="00F50855">
            <w:pPr>
              <w:suppressLineNumbers/>
              <w:rPr>
                <w:rFonts w:ascii="David" w:eastAsia="David" w:hAnsi="David"/>
                <w:b/>
                <w:bCs/>
                <w:rtl/>
              </w:rPr>
            </w:pPr>
          </w:p>
        </w:tc>
      </w:tr>
      <w:tr w:rsidR="008D2DF0" w:rsidTr="00443BFF">
        <w:trPr>
          <w:trHeight w:val="740"/>
        </w:trPr>
        <w:tc>
          <w:tcPr>
            <w:tcW w:w="3246" w:type="dxa"/>
            <w:gridSpan w:val="2"/>
            <w:hideMark/>
          </w:tcPr>
          <w:p w:rsidR="008D2DF0" w:rsidRDefault="000343E1">
            <w:pPr>
              <w:suppressLineNumbers/>
              <w:rPr>
                <w:rFonts w:ascii="David" w:eastAsia="David" w:hAnsi="David"/>
                <w:b/>
                <w:bCs/>
                <w:rtl/>
              </w:rPr>
            </w:pPr>
            <w:r>
              <w:rPr>
                <w:rFonts w:ascii="David" w:eastAsia="David" w:hAnsi="David" w:hint="cs"/>
                <w:b/>
                <w:bCs/>
                <w:rtl/>
              </w:rPr>
              <w:t>ה</w:t>
            </w:r>
            <w:sdt>
              <w:sdtPr>
                <w:rPr>
                  <w:b/>
                  <w:bCs/>
                  <w:rtl/>
                </w:rPr>
                <w:alias w:val="1265"/>
                <w:tag w:val="1265"/>
                <w:id w:val="15438151"/>
                <w:text/>
              </w:sdtPr>
              <w:sdtEndPr/>
              <w:sdtContent>
                <w:r>
                  <w:rPr>
                    <w:rFonts w:ascii="David" w:eastAsia="David" w:hAnsi="David"/>
                    <w:b/>
                    <w:bCs/>
                    <w:rtl/>
                  </w:rPr>
                  <w:t>משיב</w:t>
                </w:r>
              </w:sdtContent>
            </w:sdt>
          </w:p>
        </w:tc>
        <w:tc>
          <w:tcPr>
            <w:tcW w:w="6033" w:type="dxa"/>
            <w:hideMark/>
          </w:tcPr>
          <w:p w:rsidR="008D2DF0" w:rsidRDefault="002B2EEF">
            <w:pPr>
              <w:suppressLineNumbers/>
              <w:rPr>
                <w:rFonts w:ascii="David" w:eastAsia="David" w:hAnsi="David"/>
                <w:b/>
                <w:bCs/>
                <w:rtl/>
              </w:rPr>
            </w:pPr>
            <w:r>
              <w:rPr>
                <w:rFonts w:ascii="David" w:eastAsia="David" w:hAnsi="David" w:hint="cs"/>
                <w:b/>
                <w:bCs/>
                <w:rtl/>
              </w:rPr>
              <w:t>מ. ט</w:t>
            </w:r>
          </w:p>
        </w:tc>
      </w:tr>
      <w:tr w:rsidR="00694556" w:rsidRPr="00DE1E7D" w:rsidTr="00443BFF">
        <w:tblPrEx>
          <w:jc w:val="center"/>
          <w:tblInd w:w="0" w:type="dxa"/>
        </w:tblPrEx>
        <w:trPr>
          <w:gridBefore w:val="1"/>
          <w:wBefore w:w="34" w:type="dxa"/>
          <w:jc w:val="center"/>
        </w:trPr>
        <w:tc>
          <w:tcPr>
            <w:tcW w:w="9245" w:type="dxa"/>
            <w:gridSpan w:val="2"/>
          </w:tcPr>
          <w:p w:rsidR="00694556" w:rsidRDefault="000343E1">
            <w:pPr>
              <w:bidi w:val="0"/>
              <w:jc w:val="center"/>
              <w:rPr>
                <w:rFonts w:ascii="Arial" w:hAnsi="Arial"/>
                <w:b/>
                <w:bCs/>
                <w:noProof w:val="0"/>
                <w:sz w:val="28"/>
                <w:szCs w:val="28"/>
                <w:u w:val="single"/>
              </w:rPr>
            </w:pPr>
            <w:r>
              <w:rPr>
                <w:rFonts w:hint="cs"/>
                <w:b/>
                <w:bCs/>
                <w:rtl/>
              </w:rPr>
              <w:t xml:space="preserve">   </w:t>
            </w:r>
            <w:r w:rsidR="003E38C7">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0979E5" w:rsidRDefault="000979E5" w:rsidP="00443BFF">
      <w:pPr>
        <w:spacing w:after="120" w:line="360" w:lineRule="auto"/>
        <w:jc w:val="both"/>
        <w:rPr>
          <w:rtl/>
        </w:rPr>
      </w:pPr>
      <w:bookmarkStart w:id="0" w:name="NGCSBookmark"/>
      <w:bookmarkEnd w:id="0"/>
      <w:r w:rsidRPr="000979E5">
        <w:rPr>
          <w:rFonts w:hint="cs"/>
          <w:b/>
          <w:bCs/>
          <w:u w:val="single"/>
          <w:rtl/>
        </w:rPr>
        <w:t>השופט אריה נאמן</w:t>
      </w:r>
      <w:r>
        <w:rPr>
          <w:rFonts w:hint="cs"/>
          <w:rtl/>
        </w:rPr>
        <w:t>:</w:t>
      </w:r>
    </w:p>
    <w:p w:rsidR="008E5AC8" w:rsidRDefault="008E5AC8" w:rsidP="00443BFF">
      <w:pPr>
        <w:spacing w:after="120" w:line="360" w:lineRule="auto"/>
        <w:jc w:val="both"/>
        <w:rPr>
          <w:rtl/>
        </w:rPr>
      </w:pPr>
      <w:bookmarkStart w:id="1" w:name="_GoBack"/>
      <w:r>
        <w:rPr>
          <w:rFonts w:hint="cs"/>
          <w:rtl/>
        </w:rPr>
        <w:t>לפנינו ערעור מיום 12.3.24, על פסק דינו של בית משפט לענייני משפחה בקריות (כבוד השופט ניר זיתוני), מיום 15.1.24 בתיק 28255-07-21, העוסק במזונות קטינה.</w:t>
      </w:r>
    </w:p>
    <w:bookmarkEnd w:id="1"/>
    <w:p w:rsidR="008E5AC8" w:rsidRDefault="008E5AC8" w:rsidP="008E5AC8">
      <w:pPr>
        <w:spacing w:after="120" w:line="360" w:lineRule="auto"/>
        <w:rPr>
          <w:rFonts w:ascii="Aharoni" w:hAnsi="Aharoni" w:cs="Aharoni"/>
          <w:rtl/>
        </w:rPr>
      </w:pPr>
      <w:r>
        <w:rPr>
          <w:rFonts w:ascii="Aharoni" w:hAnsi="Aharoni" w:cs="Aharoni" w:hint="cs"/>
          <w:b/>
          <w:bCs/>
          <w:u w:val="single"/>
          <w:rtl/>
        </w:rPr>
        <w:t>שתי הערות מקדימות כלליות</w:t>
      </w:r>
      <w:r w:rsidRPr="009C26C8">
        <w:rPr>
          <w:rFonts w:ascii="Aharoni" w:hAnsi="Aharoni" w:cs="Aharoni"/>
          <w:rtl/>
        </w:rPr>
        <w:t>:</w:t>
      </w:r>
    </w:p>
    <w:p w:rsidR="008E5AC8" w:rsidRDefault="008E5AC8" w:rsidP="008E5AC8">
      <w:pPr>
        <w:pStyle w:val="ad"/>
        <w:numPr>
          <w:ilvl w:val="0"/>
          <w:numId w:val="2"/>
        </w:numPr>
        <w:spacing w:after="120" w:line="360" w:lineRule="auto"/>
        <w:contextualSpacing w:val="0"/>
        <w:rPr>
          <w:rFonts w:ascii="Aharoni" w:hAnsi="Aharoni" w:cs="Aharoni"/>
        </w:rPr>
      </w:pPr>
      <w:r>
        <w:rPr>
          <w:rFonts w:ascii="Aharoni" w:hAnsi="Aharoni" w:cs="Aharoni" w:hint="cs"/>
          <w:rtl/>
        </w:rPr>
        <w:t xml:space="preserve">כל </w:t>
      </w:r>
      <w:r w:rsidRPr="001622D9">
        <w:rPr>
          <w:rFonts w:ascii="Aharoni" w:hAnsi="Aharoni" w:cs="Aharoni"/>
          <w:rtl/>
        </w:rPr>
        <w:t>ההדגשות בציטוטי</w:t>
      </w:r>
      <w:r w:rsidRPr="001622D9">
        <w:rPr>
          <w:rFonts w:ascii="Aharoni" w:hAnsi="Aharoni" w:cs="Aharoni" w:hint="cs"/>
          <w:rtl/>
        </w:rPr>
        <w:t>ם ש</w:t>
      </w:r>
      <w:r>
        <w:rPr>
          <w:rFonts w:ascii="Aharoni" w:hAnsi="Aharoni" w:cs="Aharoni" w:hint="cs"/>
          <w:rtl/>
        </w:rPr>
        <w:t>יצוטטו</w:t>
      </w:r>
      <w:r w:rsidRPr="001622D9">
        <w:rPr>
          <w:rFonts w:ascii="Aharoni" w:hAnsi="Aharoni" w:cs="Aharoni"/>
          <w:rtl/>
        </w:rPr>
        <w:t xml:space="preserve">, אינן במקור </w:t>
      </w:r>
      <w:r>
        <w:rPr>
          <w:rFonts w:ascii="Aharoni" w:hAnsi="Aharoni" w:cs="Aharoni" w:hint="cs"/>
          <w:rtl/>
        </w:rPr>
        <w:t>אלא אם צוין אחרת;</w:t>
      </w:r>
    </w:p>
    <w:p w:rsidR="008E5AC8" w:rsidRDefault="008E5AC8" w:rsidP="008E5AC8">
      <w:pPr>
        <w:pStyle w:val="ad"/>
        <w:numPr>
          <w:ilvl w:val="0"/>
          <w:numId w:val="2"/>
        </w:numPr>
        <w:spacing w:after="120" w:line="360" w:lineRule="auto"/>
        <w:contextualSpacing w:val="0"/>
        <w:rPr>
          <w:rtl/>
        </w:rPr>
      </w:pPr>
      <w:r w:rsidRPr="00385A6F">
        <w:rPr>
          <w:rFonts w:ascii="Aharoni" w:hAnsi="Aharoni" w:cs="Aharoni" w:hint="cs"/>
          <w:rtl/>
        </w:rPr>
        <w:t>טענות הצדדים הנוספות ישולבו במידת הצורך במסגרת פסה</w:t>
      </w:r>
      <w:r w:rsidRPr="00385A6F">
        <w:rPr>
          <w:rFonts w:ascii="Aharoni" w:hAnsi="Aharoni" w:cs="Aharoni"/>
          <w:rtl/>
        </w:rPr>
        <w:t>"</w:t>
      </w:r>
      <w:r w:rsidRPr="00385A6F">
        <w:rPr>
          <w:rFonts w:ascii="Aharoni" w:hAnsi="Aharoni" w:cs="Aharoni" w:hint="cs"/>
          <w:rtl/>
        </w:rPr>
        <w:t>ד;</w:t>
      </w:r>
    </w:p>
    <w:p w:rsidR="008E5AC8" w:rsidRDefault="008E5AC8" w:rsidP="002B2EEF">
      <w:pPr>
        <w:pStyle w:val="ad"/>
        <w:numPr>
          <w:ilvl w:val="0"/>
          <w:numId w:val="1"/>
        </w:numPr>
        <w:spacing w:after="120" w:line="360" w:lineRule="auto"/>
        <w:ind w:left="368"/>
        <w:contextualSpacing w:val="0"/>
      </w:pPr>
      <w:r>
        <w:rPr>
          <w:rFonts w:hint="cs"/>
          <w:rtl/>
        </w:rPr>
        <w:t>ביום 13.7.21 הגישה המערערת (להלן</w:t>
      </w:r>
      <w:r w:rsidRPr="00385A6F">
        <w:rPr>
          <w:rFonts w:hint="cs"/>
          <w:rtl/>
        </w:rPr>
        <w:t>: "</w:t>
      </w:r>
      <w:r w:rsidRPr="00385A6F">
        <w:rPr>
          <w:rFonts w:hint="cs"/>
          <w:u w:val="single"/>
          <w:rtl/>
        </w:rPr>
        <w:t>האם</w:t>
      </w:r>
      <w:r w:rsidRPr="00385A6F">
        <w:rPr>
          <w:rFonts w:hint="cs"/>
          <w:rtl/>
        </w:rPr>
        <w:t>") כנגד המשיב (להלן: "</w:t>
      </w:r>
      <w:r w:rsidRPr="00385A6F">
        <w:rPr>
          <w:rFonts w:hint="cs"/>
          <w:u w:val="single"/>
          <w:rtl/>
        </w:rPr>
        <w:t>האב</w:t>
      </w:r>
      <w:r w:rsidRPr="00385A6F">
        <w:rPr>
          <w:rFonts w:hint="cs"/>
          <w:rtl/>
        </w:rPr>
        <w:t xml:space="preserve">") תביעת מזונות בגין הקטינה המשותפת ילידת </w:t>
      </w:r>
      <w:r w:rsidR="002B2EEF">
        <w:rPr>
          <w:rFonts w:hint="cs"/>
          <w:rtl/>
        </w:rPr>
        <w:t xml:space="preserve">2020 </w:t>
      </w:r>
      <w:r w:rsidRPr="00385A6F">
        <w:rPr>
          <w:rFonts w:hint="cs"/>
          <w:rtl/>
        </w:rPr>
        <w:t>(להלן: "</w:t>
      </w:r>
      <w:r w:rsidRPr="00385A6F">
        <w:rPr>
          <w:rFonts w:hint="cs"/>
          <w:u w:val="single"/>
          <w:rtl/>
        </w:rPr>
        <w:t>הקטינה</w:t>
      </w:r>
      <w:r w:rsidRPr="00385A6F">
        <w:rPr>
          <w:rFonts w:hint="cs"/>
          <w:rtl/>
        </w:rPr>
        <w:t>").</w:t>
      </w:r>
      <w:r>
        <w:rPr>
          <w:rFonts w:hint="cs"/>
          <w:rtl/>
        </w:rPr>
        <w:t xml:space="preserve"> במועד הגשת התביעה הייתה הקטינה כבת שנה וחצי, כיום כבת 4.5.</w:t>
      </w:r>
    </w:p>
    <w:p w:rsidR="008E5AC8" w:rsidRDefault="008E5AC8" w:rsidP="008E5AC8">
      <w:pPr>
        <w:pStyle w:val="ad"/>
        <w:numPr>
          <w:ilvl w:val="0"/>
          <w:numId w:val="1"/>
        </w:numPr>
        <w:spacing w:after="120" w:line="360" w:lineRule="auto"/>
        <w:ind w:left="368"/>
        <w:contextualSpacing w:val="0"/>
        <w:rPr>
          <w:rtl/>
        </w:rPr>
      </w:pPr>
      <w:r>
        <w:rPr>
          <w:rFonts w:hint="cs"/>
          <w:rtl/>
        </w:rPr>
        <w:t>ביום 2.8.21 נפסקו מזונותיה הזמניים של הקטינה והועמדו ע"ס 1,600 ₪ רטרואקטיבית מיום 1.7.21, כאשר בהוצאות החינוך והבריאות יישאו שני הצדדים בחלקים שווים.</w:t>
      </w:r>
    </w:p>
    <w:p w:rsidR="008E5AC8" w:rsidRPr="00385A6F" w:rsidRDefault="008E5AC8" w:rsidP="008E5AC8">
      <w:pPr>
        <w:pStyle w:val="ad"/>
        <w:numPr>
          <w:ilvl w:val="0"/>
          <w:numId w:val="1"/>
        </w:numPr>
        <w:spacing w:after="120" w:line="360" w:lineRule="auto"/>
        <w:ind w:left="368"/>
        <w:contextualSpacing w:val="0"/>
        <w:rPr>
          <w:color w:val="000000" w:themeColor="text1"/>
          <w:rtl/>
        </w:rPr>
      </w:pPr>
      <w:r>
        <w:rPr>
          <w:rFonts w:hint="cs"/>
          <w:rtl/>
        </w:rPr>
        <w:lastRenderedPageBreak/>
        <w:t>בקדם המשפט שהתקיים ביום 29.11.22, הגיעו הצדדים להסדר דיוני לפיו ההכרעה בתביעת המזונות תהיה על בסיס סיכומים בכתב בצירוף מסמכים. הצדדים פעלו כנדרש והגישו את סיכומיהם, וביום 15.1.24 ניתן פסק הדין מושא הערעור, לפיו האב ימשיך את החיוב שנקבע בהחלטה למזונות זמניים (1,600 ₪) עד הגיע הקטינה לגיל 6, ומעת הגיעה לגיל 6 סכום המזונות יפחת ויעמוד על 1,000 ₪ עד הגיעה לגיל 18 או סיום לימודי התיכון עפ"י המאוחר, לאחר מכן הסכום יופחת לשליש עד סיום השירות הצבאי/הלאומי, כמו כן יישאו שני הצדדים בחלקים שווים בהוצאות החינוך והבריאות בהתאם למפורט בפסה</w:t>
      </w:r>
      <w:r>
        <w:rPr>
          <w:rtl/>
        </w:rPr>
        <w:t>"</w:t>
      </w:r>
      <w:r>
        <w:rPr>
          <w:rFonts w:hint="cs"/>
          <w:rtl/>
        </w:rPr>
        <w:t xml:space="preserve">ד, כל זאת ללא הוצאות מדור שכן האם והקטינה התגוררו בבית הורי האם ועל כן קבע בימ"ש קמא כי ככל והאם תשכור דירה בעתיד, </w:t>
      </w:r>
      <w:r w:rsidRPr="00385A6F">
        <w:rPr>
          <w:rFonts w:hint="cs"/>
          <w:color w:val="000000" w:themeColor="text1"/>
          <w:rtl/>
        </w:rPr>
        <w:t>ית</w:t>
      </w:r>
      <w:r w:rsidRPr="00385A6F">
        <w:rPr>
          <w:color w:val="000000" w:themeColor="text1"/>
          <w:rtl/>
        </w:rPr>
        <w:t xml:space="preserve">ווסף לדמי המזונות חיוב </w:t>
      </w:r>
      <w:r w:rsidRPr="00385A6F">
        <w:rPr>
          <w:rFonts w:hint="cs"/>
          <w:color w:val="000000" w:themeColor="text1"/>
          <w:rtl/>
        </w:rPr>
        <w:t>'</w:t>
      </w:r>
      <w:r w:rsidRPr="00385A6F">
        <w:rPr>
          <w:color w:val="000000" w:themeColor="text1"/>
          <w:rtl/>
        </w:rPr>
        <w:t>מדור</w:t>
      </w:r>
      <w:r w:rsidRPr="00385A6F">
        <w:rPr>
          <w:rFonts w:hint="cs"/>
          <w:color w:val="000000" w:themeColor="text1"/>
          <w:rtl/>
        </w:rPr>
        <w:t>'</w:t>
      </w:r>
      <w:r w:rsidRPr="00385A6F">
        <w:rPr>
          <w:color w:val="000000" w:themeColor="text1"/>
          <w:rtl/>
        </w:rPr>
        <w:t xml:space="preserve"> בשיעור של 30% מדמי השכירות בכפוף להצגת הסכם שכירות וראיה בכתב בדבר תשלום דמי השכירות בפועל.</w:t>
      </w:r>
    </w:p>
    <w:p w:rsidR="008E5AC8" w:rsidRPr="00D42DE2" w:rsidRDefault="008E5AC8" w:rsidP="008E5AC8">
      <w:pPr>
        <w:pStyle w:val="ad"/>
        <w:numPr>
          <w:ilvl w:val="0"/>
          <w:numId w:val="1"/>
        </w:numPr>
        <w:spacing w:after="120" w:line="360" w:lineRule="auto"/>
        <w:ind w:left="368"/>
        <w:contextualSpacing w:val="0"/>
      </w:pPr>
      <w:r>
        <w:rPr>
          <w:rFonts w:hint="cs"/>
          <w:color w:val="000000" w:themeColor="text1"/>
          <w:rtl/>
        </w:rPr>
        <w:t>להלן הנתונים העיקריים הרלוונטיים עליהם בין היתר התבסס בימ"ש קמא לצורך קביעת שיעור חיוב המזונות:</w:t>
      </w:r>
    </w:p>
    <w:p w:rsidR="008E5AC8" w:rsidRDefault="008E5AC8" w:rsidP="008E5AC8">
      <w:pPr>
        <w:pStyle w:val="ad"/>
        <w:numPr>
          <w:ilvl w:val="0"/>
          <w:numId w:val="3"/>
        </w:numPr>
        <w:spacing w:after="120" w:line="360" w:lineRule="auto"/>
        <w:contextualSpacing w:val="0"/>
      </w:pPr>
      <w:r w:rsidRPr="00934D68">
        <w:rPr>
          <w:rFonts w:hint="cs"/>
          <w:color w:val="000000" w:themeColor="text1"/>
          <w:u w:val="single"/>
          <w:rtl/>
        </w:rPr>
        <w:t xml:space="preserve">הכנסות </w:t>
      </w:r>
      <w:r>
        <w:rPr>
          <w:rFonts w:hint="cs"/>
          <w:color w:val="000000" w:themeColor="text1"/>
          <w:u w:val="single"/>
          <w:rtl/>
        </w:rPr>
        <w:t>האב</w:t>
      </w:r>
      <w:r>
        <w:rPr>
          <w:rFonts w:hint="cs"/>
          <w:color w:val="000000" w:themeColor="text1"/>
          <w:rtl/>
        </w:rPr>
        <w:t>: האב עובד</w:t>
      </w:r>
      <w:r w:rsidR="002B2EEF">
        <w:rPr>
          <w:rFonts w:hint="cs"/>
          <w:rtl/>
        </w:rPr>
        <w:t xml:space="preserve"> כ...</w:t>
      </w:r>
      <w:r>
        <w:rPr>
          <w:rFonts w:hint="cs"/>
          <w:rtl/>
        </w:rPr>
        <w:t xml:space="preserve"> והכנסתו החודשית הממוצעת </w:t>
      </w:r>
      <w:r w:rsidRPr="00D42DE2">
        <w:rPr>
          <w:rFonts w:hint="cs"/>
          <w:u w:val="single"/>
          <w:rtl/>
        </w:rPr>
        <w:t>נטו</w:t>
      </w:r>
      <w:r>
        <w:rPr>
          <w:rFonts w:hint="cs"/>
          <w:rtl/>
        </w:rPr>
        <w:t xml:space="preserve"> העולה מתלושי המשכורת כפי שהוצגו ע"י ביהמ"ש </w:t>
      </w:r>
      <w:r w:rsidRPr="00FD495A">
        <w:rPr>
          <w:rFonts w:hint="cs"/>
          <w:b/>
          <w:bCs/>
          <w:rtl/>
        </w:rPr>
        <w:t>הינה כ-13,200 ₪</w:t>
      </w:r>
      <w:r>
        <w:rPr>
          <w:rFonts w:hint="cs"/>
          <w:rtl/>
        </w:rPr>
        <w:t xml:space="preserve">; בקביעתו זו הסתמך ביהמ"ש על 11 תלושי משכורת 5/22-3/23 (סעיפים 37-40 לפסה"ד). בניכוי הוצאות שכירות מדורו בסך 3,200 ₪ לחודש עומדת </w:t>
      </w:r>
      <w:r w:rsidRPr="0048728B">
        <w:rPr>
          <w:rFonts w:hint="cs"/>
          <w:b/>
          <w:bCs/>
          <w:rtl/>
        </w:rPr>
        <w:t>הכנסתו החודשית הפנויה על 10,000 ₪</w:t>
      </w:r>
      <w:r>
        <w:rPr>
          <w:rFonts w:hint="cs"/>
          <w:rtl/>
        </w:rPr>
        <w:t xml:space="preserve"> בממוצע.</w:t>
      </w:r>
    </w:p>
    <w:p w:rsidR="008E5AC8" w:rsidRPr="009D3379" w:rsidRDefault="008E5AC8" w:rsidP="008E5AC8">
      <w:pPr>
        <w:pStyle w:val="ad"/>
        <w:spacing w:after="120" w:line="360" w:lineRule="auto"/>
        <w:ind w:left="728"/>
        <w:contextualSpacing w:val="0"/>
      </w:pPr>
      <w:r>
        <w:rPr>
          <w:rFonts w:hint="cs"/>
          <w:color w:val="000000" w:themeColor="text1"/>
          <w:rtl/>
        </w:rPr>
        <w:t xml:space="preserve">לעניין הכנסות האב </w:t>
      </w:r>
      <w:r>
        <w:rPr>
          <w:color w:val="000000" w:themeColor="text1"/>
          <w:rtl/>
        </w:rPr>
        <w:t>–</w:t>
      </w:r>
      <w:r>
        <w:rPr>
          <w:rFonts w:hint="cs"/>
          <w:color w:val="000000" w:themeColor="text1"/>
          <w:rtl/>
        </w:rPr>
        <w:t xml:space="preserve"> ביהמ</w:t>
      </w:r>
      <w:r>
        <w:rPr>
          <w:color w:val="000000" w:themeColor="text1"/>
          <w:rtl/>
        </w:rPr>
        <w:t>"</w:t>
      </w:r>
      <w:r>
        <w:rPr>
          <w:rFonts w:hint="cs"/>
          <w:color w:val="000000" w:themeColor="text1"/>
          <w:rtl/>
        </w:rPr>
        <w:t>ש היה ער לכך שהאב לא המציא תלושי משכורת לאחר 3/23 הגם שאת סיכומיו הגיש בחודש 12/23 ואף קבע כי חוסר זה עומד לחובת האב (סע' 38-39 לפסה"ד), אך משום מה בקביעתו את חישוב המזונות לא נתן בימ</w:t>
      </w:r>
      <w:r>
        <w:rPr>
          <w:color w:val="000000" w:themeColor="text1"/>
          <w:rtl/>
        </w:rPr>
        <w:t>"</w:t>
      </w:r>
      <w:r>
        <w:rPr>
          <w:rFonts w:hint="cs"/>
          <w:color w:val="000000" w:themeColor="text1"/>
          <w:rtl/>
        </w:rPr>
        <w:t>ש כל ביטוי לקביעתו זו והתבסס על תחשיב ממוצע תלושי המשכורת שהוצגו בלבד (סע' 40,42 לפסה"ד).</w:t>
      </w:r>
    </w:p>
    <w:p w:rsidR="008E5AC8" w:rsidRDefault="008E5AC8" w:rsidP="008E5AC8">
      <w:pPr>
        <w:pStyle w:val="ad"/>
        <w:numPr>
          <w:ilvl w:val="0"/>
          <w:numId w:val="3"/>
        </w:numPr>
        <w:spacing w:after="120" w:line="360" w:lineRule="auto"/>
        <w:contextualSpacing w:val="0"/>
      </w:pPr>
      <w:r>
        <w:rPr>
          <w:rFonts w:hint="cs"/>
          <w:color w:val="000000" w:themeColor="text1"/>
          <w:rtl/>
        </w:rPr>
        <w:t xml:space="preserve"> </w:t>
      </w:r>
      <w:r w:rsidRPr="00934D68">
        <w:rPr>
          <w:rFonts w:hint="cs"/>
          <w:u w:val="single"/>
          <w:rtl/>
        </w:rPr>
        <w:t>הכנסות ה</w:t>
      </w:r>
      <w:r>
        <w:rPr>
          <w:rFonts w:hint="cs"/>
          <w:u w:val="single"/>
          <w:rtl/>
        </w:rPr>
        <w:t>אם</w:t>
      </w:r>
      <w:r>
        <w:rPr>
          <w:rFonts w:hint="cs"/>
          <w:rtl/>
        </w:rPr>
        <w:t xml:space="preserve">: לאם דרגת נכות יציבה (נכות נפשית) ודרגת אי-כושר עבודה מלא בשיעור 100%, המקנה לה קצבת נכות בסך 4,999 ₪ בתוספת קצבת ילדים בסך 109 ש"ח. לכך </w:t>
      </w:r>
      <w:r w:rsidRPr="000A04D7">
        <w:rPr>
          <w:rFonts w:hint="cs"/>
          <w:u w:val="single"/>
          <w:rtl/>
        </w:rPr>
        <w:t>הוסיף</w:t>
      </w:r>
      <w:r>
        <w:rPr>
          <w:rFonts w:hint="cs"/>
          <w:rtl/>
        </w:rPr>
        <w:t xml:space="preserve"> ביהמ</w:t>
      </w:r>
      <w:r>
        <w:rPr>
          <w:rtl/>
        </w:rPr>
        <w:t>"</w:t>
      </w:r>
      <w:r>
        <w:rPr>
          <w:rFonts w:hint="cs"/>
          <w:rtl/>
        </w:rPr>
        <w:t xml:space="preserve">ש פוטנציאל השתכרות בסך 2,786 ₪ </w:t>
      </w:r>
      <w:r w:rsidRPr="000A04D7">
        <w:rPr>
          <w:rFonts w:hint="cs"/>
          <w:rtl/>
        </w:rPr>
        <w:t xml:space="preserve">שהינו </w:t>
      </w:r>
      <w:r w:rsidRPr="000C06C2">
        <w:rPr>
          <w:rFonts w:hint="cs"/>
          <w:b/>
          <w:bCs/>
          <w:rtl/>
        </w:rPr>
        <w:t>מח</w:t>
      </w:r>
      <w:r w:rsidRPr="0048728B">
        <w:rPr>
          <w:rFonts w:hint="cs"/>
          <w:b/>
          <w:bCs/>
          <w:rtl/>
        </w:rPr>
        <w:t>צית משכר מינימום</w:t>
      </w:r>
      <w:r>
        <w:rPr>
          <w:rFonts w:hint="cs"/>
          <w:rtl/>
        </w:rPr>
        <w:t xml:space="preserve"> בנימוק </w:t>
      </w:r>
      <w:r>
        <w:rPr>
          <w:rFonts w:hint="cs"/>
          <w:rtl/>
        </w:rPr>
        <w:lastRenderedPageBreak/>
        <w:t xml:space="preserve">שלא הוכח כי האם איננה יכולה להשתלב כלל בשוק העבודה, ובימ"ש קמא אף הפנה לפסיקה בתלה"מ 43962-07-18 </w:t>
      </w:r>
      <w:r>
        <w:rPr>
          <w:rFonts w:hint="cs"/>
          <w:b/>
          <w:bCs/>
          <w:rtl/>
        </w:rPr>
        <w:t xml:space="preserve">א.ג. נ' אי.ג </w:t>
      </w:r>
      <w:r>
        <w:rPr>
          <w:rFonts w:hint="cs"/>
          <w:rtl/>
        </w:rPr>
        <w:t xml:space="preserve">(להלן: </w:t>
      </w:r>
      <w:r>
        <w:rPr>
          <w:rFonts w:hint="cs"/>
          <w:u w:val="single"/>
          <w:rtl/>
        </w:rPr>
        <w:t>"פס"ד א"ג"</w:t>
      </w:r>
      <w:r>
        <w:rPr>
          <w:rFonts w:hint="cs"/>
          <w:rtl/>
        </w:rPr>
        <w:t xml:space="preserve">) שם ייחס ביהמ"ש לאב המקבל קיצבת נכות- הכנסה </w:t>
      </w:r>
      <w:r w:rsidRPr="000A04D7">
        <w:rPr>
          <w:rFonts w:hint="cs"/>
          <w:u w:val="single"/>
          <w:rtl/>
        </w:rPr>
        <w:t>כוללת</w:t>
      </w:r>
      <w:r>
        <w:rPr>
          <w:rFonts w:hint="cs"/>
          <w:rtl/>
        </w:rPr>
        <w:t xml:space="preserve"> </w:t>
      </w:r>
      <w:r w:rsidRPr="000A04D7">
        <w:rPr>
          <w:rFonts w:ascii="Aharoni" w:hAnsi="Aharoni" w:cs="Aharoni"/>
          <w:rtl/>
        </w:rPr>
        <w:t>"כדי שיעורו של ש</w:t>
      </w:r>
      <w:r>
        <w:rPr>
          <w:rFonts w:ascii="Aharoni" w:hAnsi="Aharoni" w:cs="Aharoni" w:hint="cs"/>
          <w:rtl/>
        </w:rPr>
        <w:t>כ</w:t>
      </w:r>
      <w:r w:rsidRPr="000A04D7">
        <w:rPr>
          <w:rFonts w:ascii="Aharoni" w:hAnsi="Aharoni" w:cs="Aharoni"/>
          <w:rtl/>
        </w:rPr>
        <w:t>ר מינימום במשק"</w:t>
      </w:r>
      <w:r>
        <w:rPr>
          <w:rFonts w:hint="cs"/>
          <w:rtl/>
        </w:rPr>
        <w:t xml:space="preserve"> המורכבת הן מקיצבתו בסך 1,600 ₪ והן מההפרש עד לשכר מינימום (סע' 26 לפס"ד קמא). לפיכך הגיע בימ"ש קמא אצלנו לתחשיב לפיו סך כל הכנסות האם מקצבאות (5,108 ₪) </w:t>
      </w:r>
      <w:r w:rsidRPr="000A04D7">
        <w:rPr>
          <w:rFonts w:hint="cs"/>
          <w:u w:val="single"/>
          <w:rtl/>
        </w:rPr>
        <w:t>בתוספת</w:t>
      </w:r>
      <w:r>
        <w:rPr>
          <w:rFonts w:hint="cs"/>
          <w:rtl/>
        </w:rPr>
        <w:t xml:space="preserve"> פוטנציאל ההשתכרות בגובה מחצית משכר מינימום (5,572/2=2,786 ₪) </w:t>
      </w:r>
      <w:r w:rsidRPr="00FD495A">
        <w:rPr>
          <w:rFonts w:hint="cs"/>
          <w:b/>
          <w:bCs/>
          <w:rtl/>
        </w:rPr>
        <w:t>הינן 7,894 ₪</w:t>
      </w:r>
      <w:r>
        <w:rPr>
          <w:rFonts w:hint="cs"/>
          <w:rtl/>
        </w:rPr>
        <w:t xml:space="preserve"> </w:t>
      </w:r>
      <w:r>
        <w:rPr>
          <w:rtl/>
        </w:rPr>
        <w:t>–</w:t>
      </w:r>
      <w:r>
        <w:rPr>
          <w:rFonts w:hint="cs"/>
          <w:rtl/>
        </w:rPr>
        <w:t xml:space="preserve"> זו גם הכנסתה הפנויה שכן אין לאם הוצאות 'מדור' כאמור בס"ק (ד) להלן. </w:t>
      </w:r>
    </w:p>
    <w:p w:rsidR="008E5AC8" w:rsidRDefault="008E5AC8" w:rsidP="008E5AC8">
      <w:pPr>
        <w:pStyle w:val="ad"/>
        <w:numPr>
          <w:ilvl w:val="0"/>
          <w:numId w:val="3"/>
        </w:numPr>
        <w:spacing w:after="120" w:line="360" w:lineRule="auto"/>
        <w:contextualSpacing w:val="0"/>
      </w:pPr>
      <w:r w:rsidRPr="00FD495A">
        <w:rPr>
          <w:rFonts w:hint="cs"/>
          <w:color w:val="000000" w:themeColor="text1"/>
          <w:u w:val="single"/>
          <w:rtl/>
        </w:rPr>
        <w:t>יחס ההכנסות</w:t>
      </w:r>
      <w:r>
        <w:rPr>
          <w:rFonts w:hint="cs"/>
          <w:color w:val="000000" w:themeColor="text1"/>
          <w:rtl/>
        </w:rPr>
        <w:t xml:space="preserve"> הנגזר מהמפורט לעיל הינו </w:t>
      </w:r>
      <w:r w:rsidRPr="0048728B">
        <w:rPr>
          <w:rFonts w:hint="cs"/>
          <w:b/>
          <w:bCs/>
          <w:color w:val="000000" w:themeColor="text1"/>
          <w:rtl/>
        </w:rPr>
        <w:t>56% לאב כנגד 44% לאם</w:t>
      </w:r>
      <w:r>
        <w:rPr>
          <w:rFonts w:hint="cs"/>
          <w:color w:val="000000" w:themeColor="text1"/>
          <w:rtl/>
        </w:rPr>
        <w:t xml:space="preserve">. </w:t>
      </w:r>
    </w:p>
    <w:p w:rsidR="008E5AC8" w:rsidRDefault="008E5AC8" w:rsidP="008E5AC8">
      <w:pPr>
        <w:pStyle w:val="ad"/>
        <w:numPr>
          <w:ilvl w:val="0"/>
          <w:numId w:val="3"/>
        </w:numPr>
        <w:spacing w:after="120" w:line="360" w:lineRule="auto"/>
        <w:contextualSpacing w:val="0"/>
      </w:pPr>
      <w:r w:rsidRPr="0026221B">
        <w:rPr>
          <w:rFonts w:hint="cs"/>
          <w:color w:val="000000" w:themeColor="text1"/>
          <w:u w:val="single"/>
          <w:rtl/>
        </w:rPr>
        <w:t xml:space="preserve">מגורי </w:t>
      </w:r>
      <w:r>
        <w:rPr>
          <w:rFonts w:hint="cs"/>
          <w:color w:val="000000" w:themeColor="text1"/>
          <w:u w:val="single"/>
          <w:rtl/>
        </w:rPr>
        <w:t>האם</w:t>
      </w:r>
      <w:r w:rsidRPr="0026221B">
        <w:rPr>
          <w:rFonts w:hint="cs"/>
          <w:color w:val="000000" w:themeColor="text1"/>
          <w:u w:val="single"/>
          <w:rtl/>
        </w:rPr>
        <w:t xml:space="preserve"> והקטינה</w:t>
      </w:r>
      <w:r w:rsidRPr="0026221B">
        <w:rPr>
          <w:rFonts w:hint="cs"/>
          <w:rtl/>
        </w:rPr>
        <w:t>:</w:t>
      </w:r>
      <w:r>
        <w:rPr>
          <w:rFonts w:hint="cs"/>
          <w:rtl/>
        </w:rPr>
        <w:t xml:space="preserve"> בבית הורי הקטינה.</w:t>
      </w:r>
    </w:p>
    <w:p w:rsidR="008E5AC8" w:rsidRDefault="008E5AC8" w:rsidP="008E5AC8">
      <w:pPr>
        <w:pStyle w:val="ad"/>
        <w:numPr>
          <w:ilvl w:val="0"/>
          <w:numId w:val="3"/>
        </w:numPr>
        <w:spacing w:after="120" w:line="360" w:lineRule="auto"/>
        <w:contextualSpacing w:val="0"/>
      </w:pPr>
      <w:r>
        <w:rPr>
          <w:rFonts w:hint="cs"/>
          <w:color w:val="000000" w:themeColor="text1"/>
          <w:u w:val="single"/>
          <w:rtl/>
        </w:rPr>
        <w:t>צרכי הקטינה החודשיים</w:t>
      </w:r>
      <w:r w:rsidRPr="00FD495A">
        <w:rPr>
          <w:rFonts w:hint="cs"/>
          <w:rtl/>
        </w:rPr>
        <w:t>:</w:t>
      </w:r>
      <w:r>
        <w:rPr>
          <w:rFonts w:hint="cs"/>
          <w:rtl/>
        </w:rPr>
        <w:t xml:space="preserve"> הוערכו ע"ס </w:t>
      </w:r>
      <w:r w:rsidRPr="0048728B">
        <w:rPr>
          <w:rFonts w:hint="cs"/>
          <w:b/>
          <w:bCs/>
          <w:rtl/>
        </w:rPr>
        <w:t>1,600 ₪</w:t>
      </w:r>
      <w:r>
        <w:rPr>
          <w:rFonts w:hint="cs"/>
          <w:rtl/>
        </w:rPr>
        <w:t xml:space="preserve"> (מתוכם 400 ₪ בגין צרכים שאינם תלויי שהות). </w:t>
      </w:r>
    </w:p>
    <w:p w:rsidR="008E5AC8" w:rsidRPr="00385A6F" w:rsidRDefault="008E5AC8" w:rsidP="008E5AC8">
      <w:pPr>
        <w:pStyle w:val="ad"/>
        <w:numPr>
          <w:ilvl w:val="0"/>
          <w:numId w:val="3"/>
        </w:numPr>
        <w:spacing w:after="120" w:line="360" w:lineRule="auto"/>
        <w:contextualSpacing w:val="0"/>
        <w:rPr>
          <w:u w:val="single"/>
        </w:rPr>
      </w:pPr>
      <w:r w:rsidRPr="00385A6F">
        <w:rPr>
          <w:rFonts w:hint="cs"/>
          <w:u w:val="single"/>
          <w:rtl/>
        </w:rPr>
        <w:t>זמני שהות</w:t>
      </w:r>
      <w:r w:rsidRPr="00FD495A">
        <w:rPr>
          <w:rFonts w:hint="cs"/>
          <w:rtl/>
        </w:rPr>
        <w:t xml:space="preserve">: </w:t>
      </w:r>
      <w:r>
        <w:rPr>
          <w:rFonts w:hint="cs"/>
          <w:rtl/>
        </w:rPr>
        <w:t>הקטינה שוהה אצל האב באופן שיחס זמני השהות הינו</w:t>
      </w:r>
      <w:r w:rsidRPr="00385A6F">
        <w:rPr>
          <w:rFonts w:hint="cs"/>
          <w:b/>
          <w:bCs/>
          <w:rtl/>
        </w:rPr>
        <w:t xml:space="preserve"> 85% אצל האם ו- 15%  אצל האב</w:t>
      </w:r>
      <w:r>
        <w:rPr>
          <w:rFonts w:hint="cs"/>
          <w:rtl/>
        </w:rPr>
        <w:t xml:space="preserve">. </w:t>
      </w:r>
    </w:p>
    <w:p w:rsidR="008E5AC8" w:rsidRPr="00FD495A" w:rsidRDefault="008E5AC8" w:rsidP="009D4F9F">
      <w:pPr>
        <w:pStyle w:val="ad"/>
        <w:numPr>
          <w:ilvl w:val="0"/>
          <w:numId w:val="1"/>
        </w:numPr>
        <w:spacing w:after="120" w:line="360" w:lineRule="auto"/>
        <w:ind w:left="424" w:hanging="425"/>
        <w:contextualSpacing w:val="0"/>
        <w:rPr>
          <w:u w:val="single"/>
        </w:rPr>
      </w:pPr>
      <w:r>
        <w:rPr>
          <w:rFonts w:hint="cs"/>
          <w:rtl/>
        </w:rPr>
        <w:t>לאחר שבימ</w:t>
      </w:r>
      <w:r>
        <w:rPr>
          <w:rtl/>
        </w:rPr>
        <w:t>"</w:t>
      </w:r>
      <w:r>
        <w:rPr>
          <w:rFonts w:hint="cs"/>
          <w:rtl/>
        </w:rPr>
        <w:t>ש קמא עיין בכלל החומר המצוי בתיק והביא בחשבון בין היתר את הנתונים שנסקרו לעיל, ולאחר ששקל את  מכלול השיקולים הנדרשים בהתאם להלכה הפסוקה, ובשים לב ליחס ההכנסות מחד וליחס זמני השהות מאידך, הגיע למסקנה כי החיוב שנקבע בהחלטה למזונות זמניים בסך 1,600 ₪ יימשך עד הגיע הקטינה לגיל 6, ומגיל 6 ואילך יופחת סכום המזונות ויעמוד על 1,000 ₪ עד הגיע הקטינה לגיל 18 או עד לסיום הלימודים לפי המאוחר, ולאחר מכן ישולם שליש עד סיום השירות הצבאי/הלאומי. בנוסף יישאו שני הצדדים בחלקים שווים בהוצאות החינוך והבריאות בהתאם למפורט בפסה</w:t>
      </w:r>
      <w:r>
        <w:rPr>
          <w:rtl/>
        </w:rPr>
        <w:t>"</w:t>
      </w:r>
      <w:r>
        <w:rPr>
          <w:rFonts w:hint="cs"/>
          <w:rtl/>
        </w:rPr>
        <w:t xml:space="preserve">ד. </w:t>
      </w:r>
    </w:p>
    <w:p w:rsidR="008E5AC8" w:rsidRDefault="009D4F9F" w:rsidP="009D4F9F">
      <w:pPr>
        <w:pStyle w:val="ad"/>
        <w:spacing w:after="120" w:line="360" w:lineRule="auto"/>
        <w:ind w:left="424" w:hanging="425"/>
        <w:contextualSpacing w:val="0"/>
        <w:rPr>
          <w:u w:val="single"/>
          <w:rtl/>
        </w:rPr>
      </w:pPr>
      <w:r>
        <w:rPr>
          <w:rtl/>
        </w:rPr>
        <w:lastRenderedPageBreak/>
        <w:tab/>
      </w:r>
      <w:r w:rsidR="008E5AC8">
        <w:rPr>
          <w:rFonts w:hint="cs"/>
          <w:rtl/>
        </w:rPr>
        <w:t>בימ</w:t>
      </w:r>
      <w:r w:rsidR="008E5AC8">
        <w:rPr>
          <w:rtl/>
        </w:rPr>
        <w:t>"</w:t>
      </w:r>
      <w:r w:rsidR="008E5AC8">
        <w:rPr>
          <w:rFonts w:hint="cs"/>
          <w:rtl/>
        </w:rPr>
        <w:t>ש קמא לא הוסיף לחיוב המזונות חיוב 'מדור' שכן האם התגוררה באותה עת יחד עם הקטינה בבית הוריה. יחד עם זאת קבע בימ</w:t>
      </w:r>
      <w:r w:rsidR="008E5AC8">
        <w:rPr>
          <w:rtl/>
        </w:rPr>
        <w:t>"</w:t>
      </w:r>
      <w:r w:rsidR="008E5AC8">
        <w:rPr>
          <w:rFonts w:hint="cs"/>
          <w:rtl/>
        </w:rPr>
        <w:t xml:space="preserve">ש קמא שככל שהאם תשכור דירה בעתיד, יתווסף לדמי המזונות </w:t>
      </w:r>
      <w:r w:rsidR="008E5AC8" w:rsidRPr="00FD495A">
        <w:rPr>
          <w:color w:val="000000" w:themeColor="text1"/>
          <w:rtl/>
        </w:rPr>
        <w:t xml:space="preserve">חיוב </w:t>
      </w:r>
      <w:r w:rsidR="008E5AC8" w:rsidRPr="00FD495A">
        <w:rPr>
          <w:rFonts w:hint="cs"/>
          <w:color w:val="000000" w:themeColor="text1"/>
          <w:rtl/>
        </w:rPr>
        <w:t>'</w:t>
      </w:r>
      <w:r w:rsidR="008E5AC8" w:rsidRPr="00FD495A">
        <w:rPr>
          <w:color w:val="000000" w:themeColor="text1"/>
          <w:rtl/>
        </w:rPr>
        <w:t>מדור</w:t>
      </w:r>
      <w:r w:rsidR="008E5AC8" w:rsidRPr="00FD495A">
        <w:rPr>
          <w:rFonts w:hint="cs"/>
          <w:color w:val="000000" w:themeColor="text1"/>
          <w:rtl/>
        </w:rPr>
        <w:t>'</w:t>
      </w:r>
      <w:r w:rsidR="008E5AC8" w:rsidRPr="00FD495A">
        <w:rPr>
          <w:color w:val="000000" w:themeColor="text1"/>
          <w:rtl/>
        </w:rPr>
        <w:t xml:space="preserve"> בשיעור של 30% מדמי השכירות בכפוף להצגת הסכם שכירות וראיה בכתב בדבר תשלום דמי השכירות בפועל.</w:t>
      </w:r>
    </w:p>
    <w:p w:rsidR="008E5AC8" w:rsidRPr="00724243" w:rsidRDefault="008E5AC8" w:rsidP="009D4F9F">
      <w:pPr>
        <w:pStyle w:val="ad"/>
        <w:numPr>
          <w:ilvl w:val="0"/>
          <w:numId w:val="1"/>
        </w:numPr>
        <w:spacing w:after="120" w:line="360" w:lineRule="auto"/>
        <w:ind w:left="424" w:hanging="425"/>
        <w:contextualSpacing w:val="0"/>
        <w:rPr>
          <w:u w:val="single"/>
        </w:rPr>
      </w:pPr>
      <w:r w:rsidRPr="00724243">
        <w:rPr>
          <w:rFonts w:hint="cs"/>
          <w:u w:val="single"/>
          <w:rtl/>
        </w:rPr>
        <w:t xml:space="preserve">עיקר טענות </w:t>
      </w:r>
      <w:r>
        <w:rPr>
          <w:rFonts w:hint="cs"/>
          <w:u w:val="single"/>
          <w:rtl/>
        </w:rPr>
        <w:t xml:space="preserve">האם </w:t>
      </w:r>
      <w:r w:rsidRPr="00724243">
        <w:rPr>
          <w:rFonts w:hint="cs"/>
          <w:u w:val="single"/>
          <w:rtl/>
        </w:rPr>
        <w:t>המערערת</w:t>
      </w:r>
      <w:r>
        <w:rPr>
          <w:rFonts w:hint="cs"/>
          <w:rtl/>
        </w:rPr>
        <w:t xml:space="preserve">: </w:t>
      </w:r>
    </w:p>
    <w:p w:rsidR="008E5AC8" w:rsidRDefault="009D4F9F" w:rsidP="009D4F9F">
      <w:pPr>
        <w:pStyle w:val="ad"/>
        <w:spacing w:after="120" w:line="360" w:lineRule="auto"/>
        <w:ind w:left="424" w:hanging="425"/>
        <w:contextualSpacing w:val="0"/>
        <w:rPr>
          <w:rtl/>
        </w:rPr>
      </w:pPr>
      <w:r>
        <w:rPr>
          <w:rtl/>
        </w:rPr>
        <w:tab/>
      </w:r>
      <w:r w:rsidR="008E5AC8">
        <w:rPr>
          <w:rFonts w:hint="cs"/>
          <w:rtl/>
        </w:rPr>
        <w:t>שגה בימ</w:t>
      </w:r>
      <w:r w:rsidR="008E5AC8">
        <w:rPr>
          <w:rtl/>
        </w:rPr>
        <w:t>"</w:t>
      </w:r>
      <w:r w:rsidR="008E5AC8">
        <w:rPr>
          <w:rFonts w:hint="cs"/>
          <w:rtl/>
        </w:rPr>
        <w:t>ש קמא בתחשיב הכנסות האב, ובנוסף התעלם מזכויותיו הסוציאליות. כמו כן שגה בימ</w:t>
      </w:r>
      <w:r w:rsidR="008E5AC8">
        <w:rPr>
          <w:rtl/>
        </w:rPr>
        <w:t>"</w:t>
      </w:r>
      <w:r w:rsidR="008E5AC8">
        <w:rPr>
          <w:rFonts w:hint="cs"/>
          <w:rtl/>
        </w:rPr>
        <w:t>ש קמא עת ייחס לאם פוטנציאל השתכרות משנקבע כי לאם קיימת דרגת אי כושר מלאה ולא חלקית. כמו כן שגה ביהמ</w:t>
      </w:r>
      <w:r w:rsidR="008E5AC8">
        <w:rPr>
          <w:rtl/>
        </w:rPr>
        <w:t>"</w:t>
      </w:r>
      <w:r w:rsidR="008E5AC8">
        <w:rPr>
          <w:rFonts w:hint="cs"/>
          <w:rtl/>
        </w:rPr>
        <w:t>ש משהעריך את צרכי הקטינה על הצד הנמוך וממילא שגה בהעמדת גובה החיוב על סך 1,600 ₪ בלבד, כמו כן שגה ביהמ</w:t>
      </w:r>
      <w:r w:rsidR="008E5AC8">
        <w:rPr>
          <w:rtl/>
        </w:rPr>
        <w:t>"</w:t>
      </w:r>
      <w:r w:rsidR="008E5AC8">
        <w:rPr>
          <w:rFonts w:hint="cs"/>
          <w:rtl/>
        </w:rPr>
        <w:t>ש משהפחית את המזונות בהגיע הקטינה לגיל 6 ל-1,000 ₪ בלבד. עוד שגה ביהמ</w:t>
      </w:r>
      <w:r w:rsidR="008E5AC8">
        <w:rPr>
          <w:rtl/>
        </w:rPr>
        <w:t>"</w:t>
      </w:r>
      <w:r w:rsidR="008E5AC8">
        <w:rPr>
          <w:rFonts w:hint="cs"/>
          <w:rtl/>
        </w:rPr>
        <w:t xml:space="preserve">ש משלא הוסיף חיוב בגין </w:t>
      </w:r>
      <w:r w:rsidR="008E5AC8" w:rsidRPr="00724243">
        <w:rPr>
          <w:rFonts w:hint="cs"/>
          <w:b/>
          <w:bCs/>
          <w:rtl/>
        </w:rPr>
        <w:t>הוצאות</w:t>
      </w:r>
      <w:r w:rsidR="008E5AC8">
        <w:rPr>
          <w:rFonts w:hint="cs"/>
          <w:rtl/>
        </w:rPr>
        <w:t xml:space="preserve"> 'מדור', שכן גם אם האם מתגוררת בבית הוריה, הרי שחלק מהוצאות המדור של הוריה הינן גם בגין הקטינה המתגוררת בביתם. כמו כן שגה ביהמ</w:t>
      </w:r>
      <w:r w:rsidR="008E5AC8">
        <w:rPr>
          <w:rtl/>
        </w:rPr>
        <w:t>"</w:t>
      </w:r>
      <w:r w:rsidR="008E5AC8">
        <w:rPr>
          <w:rFonts w:hint="cs"/>
          <w:rtl/>
        </w:rPr>
        <w:t xml:space="preserve">ש בכך שהורה על חלוקת הוצאות החינוך והבריאות באופן שווה למרות שיחס ההכנסות איננו שווה. </w:t>
      </w:r>
    </w:p>
    <w:p w:rsidR="008E5AC8" w:rsidRDefault="008E5AC8" w:rsidP="009D4F9F">
      <w:pPr>
        <w:pStyle w:val="ad"/>
        <w:numPr>
          <w:ilvl w:val="0"/>
          <w:numId w:val="1"/>
        </w:numPr>
        <w:spacing w:after="120" w:line="360" w:lineRule="auto"/>
        <w:ind w:left="424" w:hanging="425"/>
        <w:contextualSpacing w:val="0"/>
      </w:pPr>
      <w:r>
        <w:rPr>
          <w:rFonts w:hint="cs"/>
          <w:u w:val="single"/>
          <w:rtl/>
        </w:rPr>
        <w:t>עיקר תשובת האב המשיב</w:t>
      </w:r>
      <w:r>
        <w:rPr>
          <w:rFonts w:hint="cs"/>
          <w:rtl/>
        </w:rPr>
        <w:t xml:space="preserve">: </w:t>
      </w:r>
    </w:p>
    <w:p w:rsidR="008E5AC8" w:rsidRDefault="009D4F9F" w:rsidP="009D4F9F">
      <w:pPr>
        <w:pStyle w:val="ad"/>
        <w:spacing w:after="120" w:line="360" w:lineRule="auto"/>
        <w:ind w:left="424" w:hanging="425"/>
        <w:contextualSpacing w:val="0"/>
        <w:rPr>
          <w:rtl/>
        </w:rPr>
      </w:pPr>
      <w:r>
        <w:rPr>
          <w:rtl/>
        </w:rPr>
        <w:tab/>
      </w:r>
      <w:r w:rsidR="008E5AC8">
        <w:rPr>
          <w:rFonts w:hint="cs"/>
          <w:rtl/>
        </w:rPr>
        <w:t>בימ</w:t>
      </w:r>
      <w:r w:rsidR="008E5AC8">
        <w:rPr>
          <w:rtl/>
        </w:rPr>
        <w:t>"</w:t>
      </w:r>
      <w:r w:rsidR="008E5AC8">
        <w:rPr>
          <w:rFonts w:hint="cs"/>
          <w:rtl/>
        </w:rPr>
        <w:t>ש קמא לא שגה באף אחד מהרכיבים שנמנו בסעיף 6 לעיל, תחשיב הכנסותיו הינו נכון, האם יכולה ואף השתלבה בפועל במעגל העבודה, באשר לחלוקת הוצאות החינוך והבריאות באופן שווה גם בכך לא שגה בימ</w:t>
      </w:r>
      <w:r w:rsidR="008E5AC8">
        <w:rPr>
          <w:rtl/>
        </w:rPr>
        <w:t>"</w:t>
      </w:r>
      <w:r w:rsidR="008E5AC8">
        <w:rPr>
          <w:rFonts w:hint="cs"/>
          <w:rtl/>
        </w:rPr>
        <w:t xml:space="preserve">ש קמא, הגם שיחס ההכנסות איננו שווה ברם הוא איננו רחוק מכך (56% לעומת 44%) והדבר מצוי בתחום שיקול הדעת של ביהמ"ש. </w:t>
      </w:r>
    </w:p>
    <w:p w:rsidR="008E5AC8" w:rsidRDefault="008E5AC8" w:rsidP="008E5AC8">
      <w:pPr>
        <w:pStyle w:val="ad"/>
        <w:spacing w:after="120" w:line="360" w:lineRule="auto"/>
        <w:contextualSpacing w:val="0"/>
        <w:rPr>
          <w:rtl/>
        </w:rPr>
      </w:pPr>
    </w:p>
    <w:p w:rsidR="008E5AC8" w:rsidRPr="00CA0EAB" w:rsidRDefault="008E5AC8" w:rsidP="008E5AC8">
      <w:pPr>
        <w:spacing w:after="120" w:line="360" w:lineRule="auto"/>
        <w:rPr>
          <w:b/>
          <w:bCs/>
          <w:u w:val="single"/>
          <w:rtl/>
        </w:rPr>
      </w:pPr>
      <w:r w:rsidRPr="00CA0EAB">
        <w:rPr>
          <w:rFonts w:hint="cs"/>
          <w:b/>
          <w:bCs/>
          <w:u w:val="single"/>
          <w:rtl/>
        </w:rPr>
        <w:lastRenderedPageBreak/>
        <w:t>דיון והכרעה</w:t>
      </w:r>
    </w:p>
    <w:p w:rsidR="008E5AC8" w:rsidRDefault="008E5AC8" w:rsidP="009D4F9F">
      <w:pPr>
        <w:pStyle w:val="ad"/>
        <w:numPr>
          <w:ilvl w:val="0"/>
          <w:numId w:val="1"/>
        </w:numPr>
        <w:spacing w:after="120" w:line="360" w:lineRule="auto"/>
        <w:ind w:left="424" w:hanging="425"/>
        <w:contextualSpacing w:val="0"/>
      </w:pPr>
      <w:r w:rsidRPr="00760BDD">
        <w:rPr>
          <w:rFonts w:eastAsia="Calibri"/>
          <w:rtl/>
        </w:rPr>
        <w:t>כלל ידוע הוא</w:t>
      </w:r>
      <w:r w:rsidRPr="00760BDD">
        <w:rPr>
          <w:rFonts w:eastAsia="Calibri" w:hint="cs"/>
          <w:rtl/>
        </w:rPr>
        <w:t xml:space="preserve">, שלערכאה הדיונית מסור שיקול דעת רחב בקביעת שיעור מזונות בכל מקרה קונקרטי ואין מדרכה של </w:t>
      </w:r>
      <w:r w:rsidRPr="00760BDD">
        <w:rPr>
          <w:rFonts w:eastAsia="Calibri"/>
          <w:rtl/>
        </w:rPr>
        <w:t xml:space="preserve">ערכאת הערעור </w:t>
      </w:r>
      <w:r w:rsidRPr="00760BDD">
        <w:rPr>
          <w:rFonts w:eastAsia="Calibri" w:hint="cs"/>
          <w:rtl/>
        </w:rPr>
        <w:t>להתערב</w:t>
      </w:r>
      <w:r w:rsidRPr="00760BDD">
        <w:rPr>
          <w:rFonts w:hint="cs"/>
          <w:noProof/>
          <w:rtl/>
        </w:rPr>
        <w:t xml:space="preserve"> </w:t>
      </w:r>
      <w:r>
        <w:rPr>
          <w:noProof/>
          <w:rtl/>
        </w:rPr>
        <w:t>עת מדובר בסוגית דמי</w:t>
      </w:r>
      <w:r>
        <w:rPr>
          <w:rFonts w:hint="cs"/>
          <w:noProof/>
          <w:rtl/>
        </w:rPr>
        <w:t xml:space="preserve"> </w:t>
      </w:r>
      <w:r w:rsidRPr="00760BDD">
        <w:rPr>
          <w:noProof/>
          <w:rtl/>
        </w:rPr>
        <w:t>מזונות אשר נדונה בערכאה הדיונית</w:t>
      </w:r>
      <w:r>
        <w:rPr>
          <w:rFonts w:hint="cs"/>
          <w:noProof/>
          <w:rtl/>
        </w:rPr>
        <w:t xml:space="preserve">, </w:t>
      </w:r>
      <w:r w:rsidRPr="00490BBE">
        <w:rPr>
          <w:rFonts w:hint="cs"/>
          <w:noProof/>
          <w:u w:val="single"/>
          <w:rtl/>
        </w:rPr>
        <w:t>אלא אם נתגלתה שגיאה בולטת, היורדת לשורשו של עניין</w:t>
      </w:r>
      <w:r>
        <w:rPr>
          <w:rFonts w:hint="cs"/>
          <w:noProof/>
          <w:rtl/>
        </w:rPr>
        <w:t>.</w:t>
      </w:r>
      <w:r w:rsidRPr="00760BDD">
        <w:rPr>
          <w:noProof/>
          <w:rtl/>
        </w:rPr>
        <w:t xml:space="preserve"> </w:t>
      </w:r>
    </w:p>
    <w:p w:rsidR="008E5AC8" w:rsidRPr="00385A6F" w:rsidRDefault="009D4F9F" w:rsidP="009D4F9F">
      <w:pPr>
        <w:spacing w:after="120" w:line="360" w:lineRule="auto"/>
        <w:ind w:left="424" w:hanging="425"/>
        <w:rPr>
          <w:rtl/>
        </w:rPr>
      </w:pPr>
      <w:r>
        <w:rPr>
          <w:rtl/>
        </w:rPr>
        <w:tab/>
      </w:r>
      <w:r w:rsidR="008E5AC8">
        <w:rPr>
          <w:rFonts w:hint="cs"/>
          <w:rtl/>
        </w:rPr>
        <w:t xml:space="preserve">ראו: </w:t>
      </w:r>
      <w:r w:rsidR="008E5AC8" w:rsidRPr="00385A6F">
        <w:rPr>
          <w:rtl/>
        </w:rPr>
        <w:t xml:space="preserve">בע"מ 2045/15 </w:t>
      </w:r>
      <w:r w:rsidR="008E5AC8" w:rsidRPr="00385A6F">
        <w:rPr>
          <w:bCs/>
          <w:rtl/>
        </w:rPr>
        <w:t>פלוני נ' פלונית</w:t>
      </w:r>
      <w:r w:rsidR="008E5AC8" w:rsidRPr="00385A6F">
        <w:rPr>
          <w:rtl/>
        </w:rPr>
        <w:t xml:space="preserve"> [פורסם בנבו] (21.5.2015)</w:t>
      </w:r>
      <w:r w:rsidR="008E5AC8" w:rsidRPr="00385A6F">
        <w:rPr>
          <w:rFonts w:hint="cs"/>
          <w:rtl/>
        </w:rPr>
        <w:t>;</w:t>
      </w:r>
    </w:p>
    <w:p w:rsidR="008E5AC8" w:rsidRPr="00856DB4" w:rsidRDefault="009D4F9F" w:rsidP="009D4F9F">
      <w:pPr>
        <w:spacing w:after="120" w:line="360" w:lineRule="auto"/>
        <w:ind w:left="424" w:hanging="425"/>
        <w:rPr>
          <w:b/>
          <w:bCs/>
          <w:rtl/>
        </w:rPr>
      </w:pPr>
      <w:r>
        <w:rPr>
          <w:rtl/>
        </w:rPr>
        <w:tab/>
      </w:r>
      <w:r w:rsidR="008E5AC8" w:rsidRPr="00385A6F">
        <w:rPr>
          <w:rtl/>
        </w:rPr>
        <w:t xml:space="preserve">בע"מ 7256/19 </w:t>
      </w:r>
      <w:r w:rsidR="008E5AC8" w:rsidRPr="00385A6F">
        <w:rPr>
          <w:b/>
          <w:bCs/>
          <w:rtl/>
        </w:rPr>
        <w:t xml:space="preserve">פלוני </w:t>
      </w:r>
      <w:r w:rsidR="008E5AC8" w:rsidRPr="00856DB4">
        <w:rPr>
          <w:b/>
          <w:bCs/>
          <w:rtl/>
        </w:rPr>
        <w:t>נ' פלונית</w:t>
      </w:r>
      <w:r w:rsidR="008E5AC8" w:rsidRPr="00856DB4">
        <w:rPr>
          <w:rtl/>
        </w:rPr>
        <w:t xml:space="preserve"> [פורסם בנבו] (</w:t>
      </w:r>
      <w:r w:rsidR="008E5AC8">
        <w:rPr>
          <w:rtl/>
        </w:rPr>
        <w:t>9</w:t>
      </w:r>
      <w:r w:rsidR="008E5AC8" w:rsidRPr="00856DB4">
        <w:rPr>
          <w:rtl/>
        </w:rPr>
        <w:t>07.2020)</w:t>
      </w:r>
      <w:r>
        <w:rPr>
          <w:rFonts w:hint="cs"/>
          <w:rtl/>
        </w:rPr>
        <w:t>.</w:t>
      </w:r>
    </w:p>
    <w:p w:rsidR="008E5AC8" w:rsidRPr="00760BDD" w:rsidRDefault="008E5AC8" w:rsidP="009D4F9F">
      <w:pPr>
        <w:pStyle w:val="ad"/>
        <w:numPr>
          <w:ilvl w:val="0"/>
          <w:numId w:val="1"/>
        </w:numPr>
        <w:spacing w:after="120" w:line="360" w:lineRule="auto"/>
        <w:ind w:left="424" w:hanging="425"/>
        <w:contextualSpacing w:val="0"/>
      </w:pPr>
      <w:r>
        <w:rPr>
          <w:rFonts w:hint="cs"/>
          <w:rtl/>
        </w:rPr>
        <w:t>לאחר עיון ובחינת מכלול טענות הצדדים והחומר שהונח בפני בימ</w:t>
      </w:r>
      <w:r>
        <w:rPr>
          <w:rtl/>
        </w:rPr>
        <w:t>"</w:t>
      </w:r>
      <w:r>
        <w:rPr>
          <w:rFonts w:hint="cs"/>
          <w:rtl/>
        </w:rPr>
        <w:t xml:space="preserve">ש קמא, מצאתי כי </w:t>
      </w:r>
      <w:r w:rsidRPr="00385A6F">
        <w:rPr>
          <w:rFonts w:ascii="Arial" w:hAnsi="Arial"/>
          <w:rtl/>
        </w:rPr>
        <w:t xml:space="preserve"> </w:t>
      </w:r>
      <w:r w:rsidRPr="00385A6F">
        <w:rPr>
          <w:rFonts w:ascii="Arial" w:hAnsi="Arial" w:hint="cs"/>
          <w:b/>
          <w:bCs/>
          <w:rtl/>
        </w:rPr>
        <w:t>המקרה דנן</w:t>
      </w:r>
      <w:r w:rsidRPr="00385A6F">
        <w:rPr>
          <w:rFonts w:ascii="Arial" w:hAnsi="Arial"/>
          <w:b/>
          <w:bCs/>
          <w:rtl/>
        </w:rPr>
        <w:t xml:space="preserve"> נמנה עם אותם מקרים חריגים המצדיקים את התערבות ערכאת הערעור</w:t>
      </w:r>
      <w:r w:rsidRPr="00385A6F">
        <w:rPr>
          <w:rFonts w:ascii="Arial" w:hAnsi="Arial" w:hint="cs"/>
          <w:rtl/>
        </w:rPr>
        <w:t xml:space="preserve"> </w:t>
      </w:r>
      <w:r w:rsidRPr="00385A6F">
        <w:rPr>
          <w:rFonts w:ascii="Arial" w:hAnsi="Arial"/>
          <w:rtl/>
        </w:rPr>
        <w:t>–</w:t>
      </w:r>
      <w:r w:rsidRPr="00385A6F">
        <w:rPr>
          <w:rFonts w:ascii="Arial" w:hAnsi="Arial" w:hint="cs"/>
          <w:rtl/>
        </w:rPr>
        <w:t xml:space="preserve"> ואלה נימוקיי</w:t>
      </w:r>
      <w:r>
        <w:rPr>
          <w:rFonts w:hint="cs"/>
          <w:rtl/>
        </w:rPr>
        <w:t>:</w:t>
      </w:r>
    </w:p>
    <w:p w:rsidR="008E5AC8" w:rsidRDefault="008E5AC8" w:rsidP="009D4F9F">
      <w:pPr>
        <w:pStyle w:val="ad"/>
        <w:numPr>
          <w:ilvl w:val="0"/>
          <w:numId w:val="1"/>
        </w:numPr>
        <w:spacing w:after="120" w:line="360" w:lineRule="auto"/>
        <w:ind w:left="424" w:hanging="425"/>
        <w:contextualSpacing w:val="0"/>
      </w:pPr>
      <w:r w:rsidRPr="009D3379">
        <w:rPr>
          <w:rtl/>
        </w:rPr>
        <w:t xml:space="preserve">לאחר פסק-דינו של </w:t>
      </w:r>
      <w:r>
        <w:rPr>
          <w:rtl/>
        </w:rPr>
        <w:t>ביהמ"ש</w:t>
      </w:r>
      <w:r w:rsidRPr="009D3379">
        <w:rPr>
          <w:rtl/>
        </w:rPr>
        <w:t xml:space="preserve"> העליון ב-בע"מ 919/15</w:t>
      </w:r>
      <w:r>
        <w:rPr>
          <w:rFonts w:hint="cs"/>
          <w:rtl/>
        </w:rPr>
        <w:t xml:space="preserve">, </w:t>
      </w:r>
      <w:r w:rsidRPr="009D3379">
        <w:rPr>
          <w:rtl/>
        </w:rPr>
        <w:t>על הכרעה בסוגי</w:t>
      </w:r>
      <w:r>
        <w:rPr>
          <w:rFonts w:hint="cs"/>
          <w:rtl/>
        </w:rPr>
        <w:t>י</w:t>
      </w:r>
      <w:r w:rsidRPr="009D3379">
        <w:rPr>
          <w:rtl/>
        </w:rPr>
        <w:t xml:space="preserve">ת </w:t>
      </w:r>
      <w:r>
        <w:rPr>
          <w:rFonts w:hint="cs"/>
          <w:rtl/>
        </w:rPr>
        <w:t xml:space="preserve">חיוב </w:t>
      </w:r>
      <w:r w:rsidRPr="009D3379">
        <w:rPr>
          <w:rtl/>
        </w:rPr>
        <w:t xml:space="preserve">מזונות להיות נטועה בשלושה אדנים מרכזיים: זמני-שהות הקטינים עם כל אחד מן הצדדים, צרכי הקטינים, </w:t>
      </w:r>
      <w:r>
        <w:rPr>
          <w:rFonts w:hint="cs"/>
          <w:rtl/>
        </w:rPr>
        <w:t xml:space="preserve">ויכולתם הכלכלית </w:t>
      </w:r>
      <w:r w:rsidRPr="009D3379">
        <w:rPr>
          <w:rtl/>
        </w:rPr>
        <w:t>של הצדדים לרבות הכנסותיהם הפנ</w:t>
      </w:r>
      <w:r>
        <w:rPr>
          <w:rtl/>
        </w:rPr>
        <w:t>ויו</w:t>
      </w:r>
      <w:r>
        <w:rPr>
          <w:rFonts w:hint="cs"/>
          <w:rtl/>
        </w:rPr>
        <w:t>ת כולל מרכושם</w:t>
      </w:r>
      <w:r w:rsidRPr="009D3379">
        <w:t>.</w:t>
      </w:r>
      <w:r>
        <w:rPr>
          <w:rFonts w:hint="cs"/>
          <w:rtl/>
        </w:rPr>
        <w:t xml:space="preserve"> </w:t>
      </w:r>
    </w:p>
    <w:p w:rsidR="008E5AC8" w:rsidRDefault="009D4F9F" w:rsidP="009D4F9F">
      <w:pPr>
        <w:pStyle w:val="ad"/>
        <w:spacing w:after="120" w:line="360" w:lineRule="auto"/>
        <w:ind w:left="424" w:hanging="425"/>
        <w:contextualSpacing w:val="0"/>
      </w:pPr>
      <w:r>
        <w:rPr>
          <w:rtl/>
        </w:rPr>
        <w:tab/>
      </w:r>
      <w:r w:rsidR="008E5AC8">
        <w:rPr>
          <w:rFonts w:hint="cs"/>
          <w:rtl/>
        </w:rPr>
        <w:t>המהלך המשפטי שעל ביהמ</w:t>
      </w:r>
      <w:r w:rsidR="008E5AC8">
        <w:rPr>
          <w:rtl/>
        </w:rPr>
        <w:t>"</w:t>
      </w:r>
      <w:r w:rsidR="008E5AC8">
        <w:rPr>
          <w:rFonts w:hint="cs"/>
          <w:rtl/>
        </w:rPr>
        <w:t>ש לנקוט בו בקביעת המזונות בעקבות בע"מ 919/15 יהיה כדלקמן:</w:t>
      </w:r>
    </w:p>
    <w:p w:rsidR="008E5AC8" w:rsidRDefault="009D4F9F" w:rsidP="002B2EEF">
      <w:pPr>
        <w:spacing w:after="120" w:line="360" w:lineRule="auto"/>
        <w:ind w:left="424" w:hanging="425"/>
        <w:jc w:val="both"/>
        <w:rPr>
          <w:b/>
          <w:bCs/>
        </w:rPr>
      </w:pPr>
      <w:r>
        <w:rPr>
          <w:b/>
          <w:bCs/>
          <w:rtl/>
        </w:rPr>
        <w:tab/>
      </w:r>
      <w:r w:rsidR="008E5AC8">
        <w:rPr>
          <w:b/>
          <w:bCs/>
          <w:rtl/>
        </w:rPr>
        <w:t xml:space="preserve">א.   הערכת וקביעת צרכי </w:t>
      </w:r>
      <w:r w:rsidR="008E5AC8">
        <w:rPr>
          <w:rFonts w:hint="cs"/>
          <w:b/>
          <w:bCs/>
          <w:rtl/>
        </w:rPr>
        <w:t>הקטינים</w:t>
      </w:r>
      <w:r w:rsidR="008E5AC8">
        <w:rPr>
          <w:b/>
          <w:bCs/>
          <w:rtl/>
        </w:rPr>
        <w:t xml:space="preserve"> לפי רמת החיים שהורגלו </w:t>
      </w:r>
      <w:r w:rsidR="008E5AC8">
        <w:rPr>
          <w:rFonts w:hint="cs"/>
          <w:b/>
          <w:bCs/>
          <w:rtl/>
        </w:rPr>
        <w:t>לה</w:t>
      </w:r>
      <w:r w:rsidR="008E5AC8">
        <w:rPr>
          <w:b/>
          <w:bCs/>
          <w:rtl/>
        </w:rPr>
        <w:t xml:space="preserve"> ערב הפירוד (צרכים תלויי שהות </w:t>
      </w:r>
      <w:r>
        <w:rPr>
          <w:b/>
          <w:bCs/>
          <w:rtl/>
        </w:rPr>
        <w:tab/>
      </w:r>
      <w:r w:rsidR="008E5AC8">
        <w:rPr>
          <w:b/>
          <w:bCs/>
          <w:rtl/>
        </w:rPr>
        <w:t>ובכללם מדור ו</w:t>
      </w:r>
      <w:r w:rsidR="008E5AC8">
        <w:rPr>
          <w:rFonts w:hint="cs"/>
          <w:b/>
          <w:bCs/>
          <w:rtl/>
        </w:rPr>
        <w:t>א</w:t>
      </w:r>
      <w:r w:rsidR="008E5AC8">
        <w:rPr>
          <w:b/>
          <w:bCs/>
          <w:rtl/>
        </w:rPr>
        <w:t>חזקתו, צרכים שאינם תלויי שהות וצרכים חריגים).</w:t>
      </w:r>
    </w:p>
    <w:p w:rsidR="008E5AC8" w:rsidRDefault="009D4F9F" w:rsidP="002B2EEF">
      <w:pPr>
        <w:spacing w:after="120" w:line="360" w:lineRule="auto"/>
        <w:ind w:left="424" w:hanging="425"/>
        <w:jc w:val="both"/>
        <w:rPr>
          <w:b/>
          <w:bCs/>
          <w:rtl/>
        </w:rPr>
      </w:pPr>
      <w:r>
        <w:rPr>
          <w:b/>
          <w:bCs/>
          <w:rtl/>
        </w:rPr>
        <w:tab/>
      </w:r>
      <w:r w:rsidR="008E5AC8">
        <w:rPr>
          <w:b/>
          <w:bCs/>
          <w:rtl/>
        </w:rPr>
        <w:t>ב.   היכולות הכלכליות של הצדדים (לא רק הכנסותיהם הפנויות של ההורים</w:t>
      </w:r>
      <w:r w:rsidR="008E5AC8">
        <w:rPr>
          <w:rFonts w:hint="cs"/>
          <w:b/>
          <w:bCs/>
          <w:rtl/>
        </w:rPr>
        <w:t xml:space="preserve"> משכר עבודה</w:t>
      </w:r>
      <w:r w:rsidR="008E5AC8">
        <w:rPr>
          <w:b/>
          <w:bCs/>
          <w:rtl/>
        </w:rPr>
        <w:t xml:space="preserve"> אלא קביעת </w:t>
      </w:r>
      <w:r>
        <w:rPr>
          <w:b/>
          <w:bCs/>
          <w:rtl/>
        </w:rPr>
        <w:tab/>
      </w:r>
      <w:r w:rsidR="008E5AC8">
        <w:rPr>
          <w:b/>
          <w:bCs/>
          <w:rtl/>
        </w:rPr>
        <w:t>יכולת כלכלית מכל</w:t>
      </w:r>
      <w:r w:rsidR="008E5AC8">
        <w:rPr>
          <w:rFonts w:hint="cs"/>
          <w:b/>
          <w:bCs/>
          <w:rtl/>
        </w:rPr>
        <w:t>ל</w:t>
      </w:r>
      <w:r w:rsidR="008E5AC8">
        <w:rPr>
          <w:b/>
          <w:bCs/>
          <w:rtl/>
        </w:rPr>
        <w:t xml:space="preserve"> המקורות העומדים לרשות ההורים</w:t>
      </w:r>
      <w:r w:rsidR="008E5AC8">
        <w:rPr>
          <w:rFonts w:hint="cs"/>
          <w:b/>
          <w:bCs/>
          <w:rtl/>
        </w:rPr>
        <w:t xml:space="preserve"> לרבות רכושם</w:t>
      </w:r>
      <w:r w:rsidR="008E5AC8">
        <w:rPr>
          <w:b/>
          <w:bCs/>
          <w:rtl/>
        </w:rPr>
        <w:t>).</w:t>
      </w:r>
    </w:p>
    <w:p w:rsidR="008E5AC8" w:rsidRDefault="009D4F9F" w:rsidP="002B2EEF">
      <w:pPr>
        <w:spacing w:after="120" w:line="360" w:lineRule="auto"/>
        <w:ind w:left="424" w:hanging="425"/>
        <w:jc w:val="both"/>
        <w:rPr>
          <w:b/>
          <w:bCs/>
        </w:rPr>
      </w:pPr>
      <w:r>
        <w:rPr>
          <w:b/>
          <w:bCs/>
          <w:rtl/>
        </w:rPr>
        <w:tab/>
      </w:r>
      <w:r w:rsidR="008E5AC8">
        <w:rPr>
          <w:b/>
          <w:bCs/>
          <w:rtl/>
        </w:rPr>
        <w:t>ג.    קביעת יחסיות ביכולת הכלכלית של ההורים זה מול זה.</w:t>
      </w:r>
    </w:p>
    <w:p w:rsidR="008E5AC8" w:rsidRDefault="009D4F9F" w:rsidP="002B2EEF">
      <w:pPr>
        <w:spacing w:after="120" w:line="360" w:lineRule="auto"/>
        <w:ind w:left="424" w:hanging="425"/>
        <w:jc w:val="both"/>
        <w:rPr>
          <w:rtl/>
        </w:rPr>
      </w:pPr>
      <w:r>
        <w:rPr>
          <w:b/>
          <w:bCs/>
          <w:rtl/>
        </w:rPr>
        <w:lastRenderedPageBreak/>
        <w:tab/>
      </w:r>
      <w:r w:rsidR="008E5AC8">
        <w:rPr>
          <w:b/>
          <w:bCs/>
          <w:rtl/>
        </w:rPr>
        <w:t xml:space="preserve">ד.   </w:t>
      </w:r>
      <w:r w:rsidR="008E5AC8">
        <w:rPr>
          <w:rFonts w:hint="cs"/>
          <w:b/>
          <w:bCs/>
          <w:rtl/>
        </w:rPr>
        <w:t>קביעת יחסיות של זמני השהות של הקטינים עם כל אחד מההורים.</w:t>
      </w:r>
      <w:r w:rsidR="008E5AC8">
        <w:rPr>
          <w:rtl/>
        </w:rPr>
        <w:t xml:space="preserve"> </w:t>
      </w:r>
    </w:p>
    <w:p w:rsidR="008E5AC8" w:rsidRDefault="009D4F9F" w:rsidP="009D4F9F">
      <w:pPr>
        <w:spacing w:after="120" w:line="360" w:lineRule="auto"/>
        <w:ind w:left="424" w:hanging="425"/>
        <w:rPr>
          <w:rtl/>
        </w:rPr>
      </w:pPr>
      <w:r>
        <w:rPr>
          <w:b/>
          <w:bCs/>
          <w:rtl/>
        </w:rPr>
        <w:tab/>
      </w:r>
      <w:r w:rsidR="008E5AC8" w:rsidRPr="00DB0951">
        <w:rPr>
          <w:b/>
          <w:bCs/>
          <w:rtl/>
        </w:rPr>
        <w:t>(</w:t>
      </w:r>
      <w:r w:rsidR="008E5AC8">
        <w:rPr>
          <w:rFonts w:hint="cs"/>
          <w:rtl/>
        </w:rPr>
        <w:t>ר</w:t>
      </w:r>
      <w:r w:rsidR="008E5AC8">
        <w:rPr>
          <w:rtl/>
        </w:rPr>
        <w:t xml:space="preserve">או: דברי כב' השופט </w:t>
      </w:r>
      <w:bookmarkStart w:id="2" w:name="LastJudge"/>
      <w:r w:rsidR="008E5AC8">
        <w:rPr>
          <w:rtl/>
        </w:rPr>
        <w:t>שוחט</w:t>
      </w:r>
      <w:bookmarkEnd w:id="2"/>
      <w:r w:rsidR="008E5AC8">
        <w:rPr>
          <w:rtl/>
        </w:rPr>
        <w:t xml:space="preserve"> בעמ"ש 14612-10-16 </w:t>
      </w:r>
      <w:r w:rsidR="008E5AC8">
        <w:rPr>
          <w:b/>
          <w:bCs/>
          <w:rtl/>
        </w:rPr>
        <w:t>פ.ב. נ' א.ב.</w:t>
      </w:r>
      <w:r w:rsidR="008E5AC8">
        <w:rPr>
          <w:rtl/>
        </w:rPr>
        <w:t xml:space="preserve"> (20.12.17)</w:t>
      </w:r>
      <w:r w:rsidR="008E5AC8">
        <w:rPr>
          <w:b/>
          <w:bCs/>
          <w:rtl/>
        </w:rPr>
        <w:t>)</w:t>
      </w:r>
    </w:p>
    <w:p w:rsidR="008E5AC8" w:rsidRPr="00CA0EAB" w:rsidRDefault="008E5AC8" w:rsidP="009D4F9F">
      <w:pPr>
        <w:pStyle w:val="ad"/>
        <w:numPr>
          <w:ilvl w:val="0"/>
          <w:numId w:val="1"/>
        </w:numPr>
        <w:spacing w:after="120" w:line="360" w:lineRule="auto"/>
        <w:ind w:left="424" w:hanging="425"/>
        <w:contextualSpacing w:val="0"/>
      </w:pPr>
      <w:r w:rsidRPr="00CA0EAB">
        <w:rPr>
          <w:rFonts w:hint="cs"/>
          <w:u w:val="single"/>
          <w:rtl/>
        </w:rPr>
        <w:t>הכנסות האב</w:t>
      </w:r>
      <w:r>
        <w:rPr>
          <w:rFonts w:hint="cs"/>
          <w:rtl/>
        </w:rPr>
        <w:t xml:space="preserve">: הלכה פסוקה היא כי </w:t>
      </w:r>
      <w:r w:rsidRPr="00590349">
        <w:rPr>
          <w:noProof/>
          <w:rtl/>
        </w:rPr>
        <w:t xml:space="preserve">התערבות ערכאת הערעור בקביעות עובדתיות תיעשה בהתקיים נסיבות מיוחדות וחריגות בלבד, בהן מתגלה שגיאה בולטת על פני החלטתו של </w:t>
      </w:r>
      <w:r>
        <w:rPr>
          <w:noProof/>
          <w:rtl/>
        </w:rPr>
        <w:t>בימ"ש</w:t>
      </w:r>
      <w:r w:rsidRPr="00590349">
        <w:rPr>
          <w:noProof/>
          <w:rtl/>
        </w:rPr>
        <w:t xml:space="preserve"> קמא. </w:t>
      </w:r>
      <w:r>
        <w:rPr>
          <w:rFonts w:hint="cs"/>
          <w:noProof/>
          <w:rtl/>
        </w:rPr>
        <w:t>(</w:t>
      </w:r>
      <w:r w:rsidRPr="00CA0EAB">
        <w:rPr>
          <w:b/>
          <w:bCs/>
          <w:noProof/>
          <w:u w:val="single"/>
          <w:rtl/>
        </w:rPr>
        <w:t>ע"א 10225/02</w:t>
      </w:r>
      <w:r w:rsidRPr="00590349">
        <w:rPr>
          <w:noProof/>
          <w:rtl/>
        </w:rPr>
        <w:t xml:space="preserve"> </w:t>
      </w:r>
      <w:r w:rsidRPr="00CA0EAB">
        <w:rPr>
          <w:b/>
          <w:bCs/>
          <w:noProof/>
          <w:rtl/>
        </w:rPr>
        <w:t>פרץ נ' פרץ בוני הנגב</w:t>
      </w:r>
      <w:r w:rsidRPr="00590349">
        <w:rPr>
          <w:noProof/>
          <w:rtl/>
        </w:rPr>
        <w:t xml:space="preserve"> (15.1.2004); </w:t>
      </w:r>
      <w:r w:rsidRPr="00CA0EAB">
        <w:rPr>
          <w:b/>
          <w:bCs/>
          <w:noProof/>
          <w:u w:val="single"/>
          <w:rtl/>
        </w:rPr>
        <w:t>ע"א 826/21</w:t>
      </w:r>
      <w:r w:rsidRPr="00590349">
        <w:rPr>
          <w:noProof/>
          <w:rtl/>
        </w:rPr>
        <w:t xml:space="preserve"> ‏</w:t>
      </w:r>
      <w:r w:rsidRPr="00CA0EAB">
        <w:rPr>
          <w:b/>
          <w:bCs/>
          <w:noProof/>
          <w:rtl/>
        </w:rPr>
        <w:t>הימנותא בע"מ נ' יוסף שדאד</w:t>
      </w:r>
      <w:r w:rsidRPr="00590349">
        <w:rPr>
          <w:noProof/>
          <w:rtl/>
        </w:rPr>
        <w:t xml:space="preserve"> (3.3.</w:t>
      </w:r>
      <w:r>
        <w:rPr>
          <w:rFonts w:hint="cs"/>
          <w:noProof/>
          <w:rtl/>
        </w:rPr>
        <w:t>20</w:t>
      </w:r>
      <w:r w:rsidRPr="00590349">
        <w:rPr>
          <w:noProof/>
          <w:rtl/>
        </w:rPr>
        <w:t>21)</w:t>
      </w:r>
      <w:r>
        <w:rPr>
          <w:rFonts w:hint="cs"/>
          <w:noProof/>
          <w:rtl/>
        </w:rPr>
        <w:t>).</w:t>
      </w:r>
    </w:p>
    <w:p w:rsidR="008E5AC8" w:rsidRDefault="009D4F9F" w:rsidP="002B2EEF">
      <w:pPr>
        <w:pStyle w:val="ad"/>
        <w:spacing w:after="120" w:line="360" w:lineRule="auto"/>
        <w:ind w:left="424" w:hanging="425"/>
        <w:contextualSpacing w:val="0"/>
        <w:rPr>
          <w:rtl/>
        </w:rPr>
      </w:pPr>
      <w:r>
        <w:rPr>
          <w:rtl/>
        </w:rPr>
        <w:tab/>
      </w:r>
      <w:r w:rsidR="008E5AC8" w:rsidRPr="00CA0EAB">
        <w:rPr>
          <w:rtl/>
        </w:rPr>
        <w:t>בענייננו סבור</w:t>
      </w:r>
      <w:r w:rsidR="008E5AC8">
        <w:rPr>
          <w:rFonts w:hint="cs"/>
          <w:rtl/>
        </w:rPr>
        <w:t>ני</w:t>
      </w:r>
      <w:r w:rsidR="008E5AC8" w:rsidRPr="00CA0EAB">
        <w:rPr>
          <w:rtl/>
        </w:rPr>
        <w:t xml:space="preserve"> כי נפלה שגגה </w:t>
      </w:r>
      <w:r w:rsidR="008E5AC8">
        <w:rPr>
          <w:rFonts w:hint="cs"/>
          <w:rtl/>
        </w:rPr>
        <w:t xml:space="preserve">בולטת </w:t>
      </w:r>
      <w:r w:rsidR="008E5AC8" w:rsidRPr="00CA0EAB">
        <w:rPr>
          <w:rFonts w:hint="cs"/>
          <w:rtl/>
        </w:rPr>
        <w:t>ב</w:t>
      </w:r>
      <w:r w:rsidR="008E5AC8">
        <w:rPr>
          <w:rFonts w:hint="cs"/>
          <w:rtl/>
        </w:rPr>
        <w:t xml:space="preserve">אופן </w:t>
      </w:r>
      <w:r w:rsidR="008E5AC8" w:rsidRPr="00CA0EAB">
        <w:rPr>
          <w:rFonts w:hint="cs"/>
          <w:rtl/>
        </w:rPr>
        <w:t>תחשיב הכנסות ה</w:t>
      </w:r>
      <w:r w:rsidR="008E5AC8">
        <w:rPr>
          <w:rFonts w:hint="cs"/>
          <w:rtl/>
        </w:rPr>
        <w:t>אב, שכן בימ</w:t>
      </w:r>
      <w:r w:rsidR="008E5AC8">
        <w:rPr>
          <w:rtl/>
        </w:rPr>
        <w:t>"</w:t>
      </w:r>
      <w:r w:rsidR="008E5AC8">
        <w:rPr>
          <w:rFonts w:hint="cs"/>
          <w:rtl/>
        </w:rPr>
        <w:t xml:space="preserve">ש קמא התבסס על </w:t>
      </w:r>
      <w:r w:rsidR="008E5AC8" w:rsidRPr="00E5131B">
        <w:rPr>
          <w:rFonts w:hint="cs"/>
          <w:u w:val="single"/>
          <w:rtl/>
        </w:rPr>
        <w:t>11</w:t>
      </w:r>
      <w:r w:rsidR="008E5AC8">
        <w:rPr>
          <w:rFonts w:hint="cs"/>
          <w:rtl/>
        </w:rPr>
        <w:t xml:space="preserve"> תלושי משכורת בלבד ולא על 12 תלושים המעידים על ממוצע שנתי של הכנסות, כמו כן ביהמ</w:t>
      </w:r>
      <w:r w:rsidR="008E5AC8">
        <w:rPr>
          <w:rtl/>
        </w:rPr>
        <w:t>"</w:t>
      </w:r>
      <w:r w:rsidR="008E5AC8">
        <w:rPr>
          <w:rFonts w:hint="cs"/>
          <w:rtl/>
        </w:rPr>
        <w:t xml:space="preserve">ש חישב את הכנסת האב </w:t>
      </w:r>
      <w:r w:rsidR="008E5AC8" w:rsidRPr="00CA0EAB">
        <w:rPr>
          <w:rFonts w:hint="cs"/>
          <w:u w:val="single"/>
          <w:rtl/>
        </w:rPr>
        <w:t>נטו</w:t>
      </w:r>
      <w:r w:rsidR="008E5AC8" w:rsidRPr="0005473D">
        <w:rPr>
          <w:rFonts w:hint="cs"/>
          <w:rtl/>
        </w:rPr>
        <w:t xml:space="preserve"> (</w:t>
      </w:r>
      <w:r w:rsidR="008E5AC8">
        <w:rPr>
          <w:rFonts w:hint="cs"/>
          <w:rtl/>
        </w:rPr>
        <w:t>סעיפים 36-37 לפסה</w:t>
      </w:r>
      <w:r w:rsidR="008E5AC8">
        <w:rPr>
          <w:rtl/>
        </w:rPr>
        <w:t>"</w:t>
      </w:r>
      <w:r w:rsidR="008E5AC8">
        <w:rPr>
          <w:rFonts w:hint="cs"/>
          <w:rtl/>
        </w:rPr>
        <w:t xml:space="preserve">ד), בעוד שעל פי המקובל ובהתאם לפסיקה יש לחשב את ההכנסה </w:t>
      </w:r>
      <w:r w:rsidR="008E5AC8" w:rsidRPr="00CA0EAB">
        <w:rPr>
          <w:rFonts w:hint="cs"/>
          <w:u w:val="single"/>
          <w:rtl/>
        </w:rPr>
        <w:t>ברוטו לאחר ניכויי חובה בלבד</w:t>
      </w:r>
      <w:r w:rsidR="008E5AC8">
        <w:rPr>
          <w:rFonts w:hint="cs"/>
          <w:rtl/>
        </w:rPr>
        <w:t xml:space="preserve">, בפרט בנידונינו שהאב עובד </w:t>
      </w:r>
      <w:r w:rsidR="002B2EEF">
        <w:rPr>
          <w:rFonts w:hint="cs"/>
          <w:rtl/>
        </w:rPr>
        <w:t>כ...</w:t>
      </w:r>
      <w:r w:rsidR="008E5AC8">
        <w:rPr>
          <w:rFonts w:hint="cs"/>
          <w:rtl/>
        </w:rPr>
        <w:t xml:space="preserve"> ועיון בתלושי המשכורת מעלה כי קיימות לו הפרשות רבות לזכויות סוציאליות, קרן השתלמות והטבות למיניהן; ואכן תחשיב ממוצע </w:t>
      </w:r>
      <w:r w:rsidR="008E5AC8" w:rsidRPr="00CA0EAB">
        <w:rPr>
          <w:rFonts w:hint="cs"/>
          <w:u w:val="single"/>
          <w:rtl/>
        </w:rPr>
        <w:t>ברוטו לאחר ניכויי חובה</w:t>
      </w:r>
      <w:r w:rsidR="008E5AC8">
        <w:rPr>
          <w:rFonts w:hint="cs"/>
          <w:rtl/>
        </w:rPr>
        <w:t xml:space="preserve"> בלבד של </w:t>
      </w:r>
      <w:r w:rsidR="008E5AC8" w:rsidRPr="0005473D">
        <w:rPr>
          <w:rFonts w:hint="cs"/>
          <w:u w:val="single"/>
          <w:rtl/>
        </w:rPr>
        <w:t>12</w:t>
      </w:r>
      <w:r w:rsidR="008E5AC8" w:rsidRPr="00E5131B">
        <w:rPr>
          <w:rFonts w:hint="cs"/>
          <w:rtl/>
        </w:rPr>
        <w:t xml:space="preserve"> </w:t>
      </w:r>
      <w:r w:rsidR="008E5AC8">
        <w:rPr>
          <w:rFonts w:hint="cs"/>
          <w:rtl/>
        </w:rPr>
        <w:t>התלושים האחרונים שהוצגו לבימ</w:t>
      </w:r>
      <w:r w:rsidR="008E5AC8">
        <w:rPr>
          <w:rtl/>
        </w:rPr>
        <w:t>"</w:t>
      </w:r>
      <w:r w:rsidR="008E5AC8">
        <w:rPr>
          <w:rFonts w:hint="cs"/>
          <w:rtl/>
        </w:rPr>
        <w:t xml:space="preserve">ש קמא (4/22-3/23), מעמיד את הכנסתו הממוצעת הנ"ל של האב על </w:t>
      </w:r>
      <w:r w:rsidR="008E5AC8" w:rsidRPr="009905BA">
        <w:rPr>
          <w:rFonts w:hint="cs"/>
          <w:rtl/>
        </w:rPr>
        <w:t>כ-</w:t>
      </w:r>
      <w:r w:rsidR="008E5AC8" w:rsidRPr="009905BA">
        <w:rPr>
          <w:rFonts w:hint="cs"/>
          <w:b/>
          <w:bCs/>
          <w:u w:val="single"/>
          <w:rtl/>
        </w:rPr>
        <w:t>16,140 ₪</w:t>
      </w:r>
      <w:r w:rsidR="008E5AC8">
        <w:rPr>
          <w:rFonts w:hint="cs"/>
          <w:rtl/>
        </w:rPr>
        <w:t xml:space="preserve"> ברוטו לאחר ניכויי חובה (במקום כ-13,200 ₪ נטו כפי שקבע בימ</w:t>
      </w:r>
      <w:r w:rsidR="008E5AC8">
        <w:rPr>
          <w:rtl/>
        </w:rPr>
        <w:t>"</w:t>
      </w:r>
      <w:r w:rsidR="008E5AC8">
        <w:rPr>
          <w:rFonts w:hint="cs"/>
          <w:rtl/>
        </w:rPr>
        <w:t>ש קמא), ובניכוי הוצאות שכירות מדורו בסך 3,200 ₪ לחודש עומדת הכנסתו החודשית הפנויה של האב על כ-</w:t>
      </w:r>
      <w:r w:rsidR="008E5AC8" w:rsidRPr="009905BA">
        <w:rPr>
          <w:rFonts w:hint="cs"/>
          <w:b/>
          <w:bCs/>
          <w:u w:val="single"/>
          <w:rtl/>
        </w:rPr>
        <w:t>13,000 ₪</w:t>
      </w:r>
      <w:r w:rsidR="008E5AC8">
        <w:rPr>
          <w:rFonts w:hint="cs"/>
          <w:rtl/>
        </w:rPr>
        <w:t xml:space="preserve"> (במקום כ-10,000 ₪ כפי שקבע בימ</w:t>
      </w:r>
      <w:r w:rsidR="008E5AC8">
        <w:rPr>
          <w:rtl/>
        </w:rPr>
        <w:t>"</w:t>
      </w:r>
      <w:r w:rsidR="008E5AC8">
        <w:rPr>
          <w:rFonts w:hint="cs"/>
          <w:rtl/>
        </w:rPr>
        <w:t xml:space="preserve">ש קמא). </w:t>
      </w:r>
    </w:p>
    <w:p w:rsidR="008E5AC8" w:rsidRDefault="008E5AC8" w:rsidP="009D4F9F">
      <w:pPr>
        <w:pStyle w:val="ad"/>
        <w:numPr>
          <w:ilvl w:val="0"/>
          <w:numId w:val="1"/>
        </w:numPr>
        <w:spacing w:after="120" w:line="360" w:lineRule="auto"/>
        <w:ind w:left="424" w:hanging="425"/>
        <w:contextualSpacing w:val="0"/>
        <w:rPr>
          <w:b/>
          <w:bCs/>
        </w:rPr>
      </w:pPr>
      <w:r>
        <w:rPr>
          <w:rFonts w:hint="cs"/>
          <w:u w:val="single"/>
          <w:rtl/>
        </w:rPr>
        <w:t>הכנסות האם</w:t>
      </w:r>
      <w:r>
        <w:rPr>
          <w:rFonts w:hint="cs"/>
          <w:rtl/>
        </w:rPr>
        <w:t>: מסכים אני עם בימ</w:t>
      </w:r>
      <w:r>
        <w:rPr>
          <w:rtl/>
        </w:rPr>
        <w:t>"</w:t>
      </w:r>
      <w:r>
        <w:rPr>
          <w:rFonts w:hint="cs"/>
          <w:rtl/>
        </w:rPr>
        <w:t xml:space="preserve">ש קמא כי אין די בהענקת דרגת אי כושר מלא כדי להעיד על מניעות </w:t>
      </w:r>
      <w:r w:rsidRPr="0005473D">
        <w:rPr>
          <w:rFonts w:hint="cs"/>
          <w:b/>
          <w:bCs/>
          <w:rtl/>
        </w:rPr>
        <w:t>מוחלטת</w:t>
      </w:r>
      <w:r>
        <w:rPr>
          <w:rFonts w:hint="cs"/>
          <w:rtl/>
        </w:rPr>
        <w:t xml:space="preserve"> מהשתלבות כזו או אחרת במעגל העבודה (ראה תמ"ש 16500/04 </w:t>
      </w:r>
      <w:r>
        <w:rPr>
          <w:rFonts w:hint="cs"/>
          <w:b/>
          <w:bCs/>
          <w:rtl/>
        </w:rPr>
        <w:t>פלוני נ' אלמונית</w:t>
      </w:r>
      <w:r>
        <w:rPr>
          <w:rFonts w:hint="cs"/>
          <w:rtl/>
        </w:rPr>
        <w:t xml:space="preserve"> סעיף 11 שם; תמ"ש 62672/98 </w:t>
      </w:r>
      <w:r>
        <w:rPr>
          <w:rFonts w:hint="cs"/>
          <w:b/>
          <w:bCs/>
          <w:rtl/>
        </w:rPr>
        <w:t xml:space="preserve">ב. י. נ' ש. נ. </w:t>
      </w:r>
      <w:r>
        <w:rPr>
          <w:rFonts w:hint="cs"/>
          <w:rtl/>
        </w:rPr>
        <w:t xml:space="preserve">סעיף 7.ב שם) </w:t>
      </w:r>
      <w:r>
        <w:rPr>
          <w:rtl/>
        </w:rPr>
        <w:t>–</w:t>
      </w:r>
      <w:r>
        <w:rPr>
          <w:rFonts w:hint="cs"/>
          <w:rtl/>
        </w:rPr>
        <w:t xml:space="preserve"> והראיה, שבדיון בפנינו </w:t>
      </w:r>
      <w:r w:rsidRPr="00646994">
        <w:rPr>
          <w:rFonts w:hint="cs"/>
          <w:b/>
          <w:bCs/>
          <w:rtl/>
        </w:rPr>
        <w:t xml:space="preserve">הודתה האם שהיא </w:t>
      </w:r>
      <w:r>
        <w:rPr>
          <w:rFonts w:hint="cs"/>
          <w:b/>
          <w:bCs/>
          <w:rtl/>
        </w:rPr>
        <w:t xml:space="preserve">אכן </w:t>
      </w:r>
      <w:r w:rsidRPr="00646994">
        <w:rPr>
          <w:rFonts w:hint="cs"/>
          <w:b/>
          <w:bCs/>
          <w:rtl/>
        </w:rPr>
        <w:t xml:space="preserve">עובדת </w:t>
      </w:r>
      <w:r>
        <w:rPr>
          <w:rFonts w:hint="cs"/>
          <w:b/>
          <w:bCs/>
          <w:rtl/>
        </w:rPr>
        <w:t xml:space="preserve">כיום </w:t>
      </w:r>
      <w:r w:rsidRPr="00646994">
        <w:rPr>
          <w:rFonts w:hint="cs"/>
          <w:b/>
          <w:bCs/>
          <w:rtl/>
        </w:rPr>
        <w:t>ב</w:t>
      </w:r>
      <w:r>
        <w:rPr>
          <w:rFonts w:hint="cs"/>
          <w:b/>
          <w:bCs/>
          <w:rtl/>
        </w:rPr>
        <w:t>עבודה</w:t>
      </w:r>
      <w:r w:rsidRPr="00646994">
        <w:rPr>
          <w:rFonts w:hint="cs"/>
          <w:b/>
          <w:bCs/>
          <w:rtl/>
        </w:rPr>
        <w:t xml:space="preserve"> חלקית</w:t>
      </w:r>
      <w:r>
        <w:rPr>
          <w:rFonts w:hint="cs"/>
          <w:b/>
          <w:bCs/>
          <w:rtl/>
        </w:rPr>
        <w:t>, למרות דרגת אי הכושר המלאה שהוענקה לה,</w:t>
      </w:r>
      <w:r w:rsidRPr="00646994">
        <w:rPr>
          <w:rFonts w:hint="cs"/>
          <w:b/>
          <w:bCs/>
          <w:rtl/>
        </w:rPr>
        <w:t xml:space="preserve"> ולטענתה </w:t>
      </w:r>
      <w:r>
        <w:rPr>
          <w:rFonts w:hint="cs"/>
          <w:b/>
          <w:bCs/>
          <w:rtl/>
        </w:rPr>
        <w:t xml:space="preserve">הינה </w:t>
      </w:r>
      <w:r w:rsidRPr="00646994">
        <w:rPr>
          <w:rFonts w:hint="cs"/>
          <w:b/>
          <w:bCs/>
          <w:rtl/>
        </w:rPr>
        <w:t>משתכרת</w:t>
      </w:r>
      <w:r>
        <w:rPr>
          <w:rFonts w:hint="cs"/>
          <w:b/>
          <w:bCs/>
          <w:rtl/>
        </w:rPr>
        <w:t xml:space="preserve"> מעבודה חלקית זו</w:t>
      </w:r>
      <w:r w:rsidRPr="00646994">
        <w:rPr>
          <w:rFonts w:hint="cs"/>
          <w:b/>
          <w:bCs/>
          <w:rtl/>
        </w:rPr>
        <w:t xml:space="preserve"> כ-1,000  עד 1,200 ₪ לחודש</w:t>
      </w:r>
      <w:r>
        <w:rPr>
          <w:rFonts w:hint="cs"/>
          <w:rtl/>
        </w:rPr>
        <w:t xml:space="preserve"> (עמ' 1 לפרו</w:t>
      </w:r>
      <w:r>
        <w:rPr>
          <w:rtl/>
        </w:rPr>
        <w:t>'</w:t>
      </w:r>
      <w:r>
        <w:rPr>
          <w:rFonts w:hint="cs"/>
          <w:rtl/>
        </w:rPr>
        <w:t xml:space="preserve"> ש</w:t>
      </w:r>
      <w:r>
        <w:rPr>
          <w:rtl/>
        </w:rPr>
        <w:t>'</w:t>
      </w:r>
      <w:r>
        <w:rPr>
          <w:rFonts w:hint="cs"/>
          <w:rtl/>
        </w:rPr>
        <w:t xml:space="preserve"> 16). </w:t>
      </w:r>
    </w:p>
    <w:p w:rsidR="008E5AC8" w:rsidRPr="00E5131B" w:rsidRDefault="009D4F9F" w:rsidP="009D4F9F">
      <w:pPr>
        <w:pStyle w:val="ad"/>
        <w:spacing w:after="120" w:line="360" w:lineRule="auto"/>
        <w:ind w:left="424" w:hanging="425"/>
        <w:contextualSpacing w:val="0"/>
      </w:pPr>
      <w:r>
        <w:rPr>
          <w:rtl/>
        </w:rPr>
        <w:lastRenderedPageBreak/>
        <w:tab/>
      </w:r>
      <w:r w:rsidR="008E5AC8">
        <w:rPr>
          <w:rFonts w:hint="cs"/>
          <w:rtl/>
        </w:rPr>
        <w:t>יחד עם זאת אינני רואה עין בעין את קביעתו של בימ</w:t>
      </w:r>
      <w:r w:rsidR="008E5AC8">
        <w:rPr>
          <w:rtl/>
        </w:rPr>
        <w:t>"</w:t>
      </w:r>
      <w:r w:rsidR="008E5AC8">
        <w:rPr>
          <w:rFonts w:hint="cs"/>
          <w:rtl/>
        </w:rPr>
        <w:t xml:space="preserve">ש קמא כי יש לייחס לאם הכנסה פוטנציאלית </w:t>
      </w:r>
      <w:r w:rsidR="008E5AC8" w:rsidRPr="00E5131B">
        <w:rPr>
          <w:rFonts w:hint="cs"/>
          <w:u w:val="single"/>
          <w:rtl/>
        </w:rPr>
        <w:t>נוספת</w:t>
      </w:r>
      <w:r w:rsidR="008E5AC8">
        <w:rPr>
          <w:rFonts w:hint="cs"/>
          <w:rtl/>
        </w:rPr>
        <w:t xml:space="preserve"> על קיצבת הנכות </w:t>
      </w:r>
      <w:r w:rsidR="008E5AC8" w:rsidRPr="00E5131B">
        <w:rPr>
          <w:rFonts w:hint="cs"/>
          <w:u w:val="single"/>
          <w:rtl/>
        </w:rPr>
        <w:t>בגובה מחצית משכר מינימום</w:t>
      </w:r>
      <w:r w:rsidR="008E5AC8">
        <w:rPr>
          <w:rFonts w:hint="cs"/>
          <w:rtl/>
        </w:rPr>
        <w:t xml:space="preserve">. עיון בפס"ד א"ג אליו מפנה בימ"ש קמא ואף מצטט אותו, מעלה כי ראשית- דרגת אי הכושר שהוענקה שם לאב הייתה בשיעור של </w:t>
      </w:r>
      <w:r w:rsidR="008E5AC8" w:rsidRPr="00E5131B">
        <w:rPr>
          <w:rFonts w:hint="cs"/>
          <w:u w:val="single"/>
          <w:rtl/>
        </w:rPr>
        <w:t>60% ולא דרגת כושר מלאה</w:t>
      </w:r>
      <w:r w:rsidR="008E5AC8">
        <w:rPr>
          <w:rFonts w:hint="cs"/>
          <w:rtl/>
        </w:rPr>
        <w:t xml:space="preserve"> כבעניינינו. שנית- ההכנסה בגובה שכר מינימום אותה ייחס שם ביהמ"ש לאב הייתה הכנסה </w:t>
      </w:r>
      <w:r w:rsidR="008E5AC8" w:rsidRPr="00E5131B">
        <w:rPr>
          <w:rFonts w:hint="cs"/>
          <w:u w:val="single"/>
          <w:rtl/>
        </w:rPr>
        <w:t>כוללת</w:t>
      </w:r>
      <w:r w:rsidR="008E5AC8">
        <w:rPr>
          <w:rFonts w:hint="cs"/>
          <w:rtl/>
        </w:rPr>
        <w:t xml:space="preserve">, קרי: הכנסתו מקצבת נכות בסך 1,600 ₪ </w:t>
      </w:r>
      <w:r w:rsidR="008E5AC8" w:rsidRPr="00E5131B">
        <w:rPr>
          <w:rFonts w:hint="cs"/>
          <w:u w:val="single"/>
          <w:rtl/>
        </w:rPr>
        <w:t>בצירוף</w:t>
      </w:r>
      <w:r w:rsidR="008E5AC8">
        <w:rPr>
          <w:rFonts w:hint="cs"/>
          <w:rtl/>
        </w:rPr>
        <w:t xml:space="preserve"> ההכנסה הפוטנציאלית = </w:t>
      </w:r>
      <w:r w:rsidR="008E5AC8" w:rsidRPr="00E96452">
        <w:rPr>
          <w:rFonts w:hint="cs"/>
          <w:u w:val="single"/>
          <w:rtl/>
        </w:rPr>
        <w:t>סה"כ שכר מינימום</w:t>
      </w:r>
      <w:r w:rsidR="008E5AC8">
        <w:rPr>
          <w:rFonts w:hint="cs"/>
          <w:rtl/>
        </w:rPr>
        <w:t xml:space="preserve"> &gt; ראה הציטוט מפס"ד א"ג אותו מביא בימ"ש קמא בסוף עמ' 12 לפסה"ד: </w:t>
      </w:r>
      <w:r w:rsidR="008E5AC8" w:rsidRPr="00E5131B">
        <w:rPr>
          <w:rtl/>
        </w:rPr>
        <w:t>"</w:t>
      </w:r>
      <w:r w:rsidR="008E5AC8" w:rsidRPr="00E5131B">
        <w:rPr>
          <w:rFonts w:ascii="Aharoni" w:hAnsi="Aharoni" w:cs="Aharoni"/>
          <w:rtl/>
        </w:rPr>
        <w:t>די בכך כדי לייחס לאב פוטנציאל הכנסה המגיע (בתוספת קצבתו) כדי שיעורו של שכר המינימום במשק." [ראה פס' 31-32 לפסק הדין].</w:t>
      </w:r>
      <w:r w:rsidR="008E5AC8" w:rsidRPr="00E5131B">
        <w:rPr>
          <w:rtl/>
        </w:rPr>
        <w:t>"</w:t>
      </w:r>
      <w:r w:rsidR="008E5AC8" w:rsidRPr="00E5131B">
        <w:rPr>
          <w:rFonts w:ascii="Aharoni" w:hAnsi="Aharoni" w:cs="Aharoni"/>
          <w:rtl/>
        </w:rPr>
        <w:t xml:space="preserve"> </w:t>
      </w:r>
    </w:p>
    <w:p w:rsidR="008E5AC8" w:rsidRDefault="009D4F9F" w:rsidP="009D4F9F">
      <w:pPr>
        <w:pStyle w:val="ad"/>
        <w:spacing w:after="120" w:line="360" w:lineRule="auto"/>
        <w:ind w:left="424" w:hanging="425"/>
        <w:contextualSpacing w:val="0"/>
        <w:rPr>
          <w:rtl/>
        </w:rPr>
      </w:pPr>
      <w:r>
        <w:rPr>
          <w:rtl/>
        </w:rPr>
        <w:tab/>
      </w:r>
      <w:r w:rsidR="008E5AC8">
        <w:rPr>
          <w:rFonts w:hint="cs"/>
          <w:rtl/>
        </w:rPr>
        <w:t xml:space="preserve">כך שגם בהלימה לפס"ד א"ג שבדרך הילוכו הילך בימ"ש קמא, וגם אם נתעלם מכך שבנידונינו דרגת אי-כושר היא מלאה ולא חלקית, לכל היותר ניתן היה לייחס לאם </w:t>
      </w:r>
      <w:r w:rsidR="008E5AC8" w:rsidRPr="00E96452">
        <w:rPr>
          <w:rFonts w:hint="cs"/>
          <w:u w:val="single"/>
          <w:rtl/>
        </w:rPr>
        <w:t>הכנסה כוללת בשיעור שכר מינימום</w:t>
      </w:r>
      <w:r w:rsidR="008E5AC8">
        <w:rPr>
          <w:rFonts w:hint="cs"/>
          <w:rtl/>
        </w:rPr>
        <w:t xml:space="preserve"> היינו </w:t>
      </w:r>
      <w:r w:rsidR="008E5AC8" w:rsidRPr="00490BBE">
        <w:rPr>
          <w:rFonts w:hint="cs"/>
          <w:b/>
          <w:bCs/>
          <w:rtl/>
        </w:rPr>
        <w:t>קיצבתה+פוטנציאל השתכרות=שכר מינימום</w:t>
      </w:r>
      <w:r w:rsidR="008E5AC8">
        <w:rPr>
          <w:rFonts w:hint="cs"/>
          <w:rtl/>
        </w:rPr>
        <w:t xml:space="preserve"> העומד כאמור על 5,572 ₪ כפי שציין בימ"ש קמא בסעיף 28 לפסה"ד.</w:t>
      </w:r>
    </w:p>
    <w:p w:rsidR="008E5AC8" w:rsidRDefault="009D4F9F" w:rsidP="009D4F9F">
      <w:pPr>
        <w:pStyle w:val="ad"/>
        <w:spacing w:after="120" w:line="360" w:lineRule="auto"/>
        <w:ind w:left="424" w:hanging="425"/>
        <w:contextualSpacing w:val="0"/>
        <w:rPr>
          <w:rtl/>
        </w:rPr>
      </w:pPr>
      <w:r>
        <w:rPr>
          <w:rtl/>
        </w:rPr>
        <w:tab/>
      </w:r>
      <w:r w:rsidR="008E5AC8">
        <w:rPr>
          <w:rFonts w:hint="cs"/>
          <w:rtl/>
        </w:rPr>
        <w:t>אלא שבנידונינו כאמור, האם משתכרת מעל 1,000 ₪ בחודש בממוצע, עוד התברר בדיון בפנינו כי קצבת הנכות של האם בתוספת קצבת התלויים מגיעה ל-5,390 ₪ (עמ' 2 לפרו</w:t>
      </w:r>
      <w:r w:rsidR="008E5AC8">
        <w:rPr>
          <w:rtl/>
        </w:rPr>
        <w:t>'</w:t>
      </w:r>
      <w:r w:rsidR="008E5AC8">
        <w:rPr>
          <w:rFonts w:hint="cs"/>
          <w:rtl/>
        </w:rPr>
        <w:t xml:space="preserve"> ש</w:t>
      </w:r>
      <w:r w:rsidR="008E5AC8">
        <w:rPr>
          <w:rtl/>
        </w:rPr>
        <w:t>'</w:t>
      </w:r>
      <w:r w:rsidR="008E5AC8">
        <w:rPr>
          <w:rFonts w:hint="cs"/>
          <w:rtl/>
        </w:rPr>
        <w:t xml:space="preserve"> 22), כך שבכל מקרה הכנסות האם כולן מגיעות לסך של כ-</w:t>
      </w:r>
      <w:r w:rsidR="008E5AC8" w:rsidRPr="00646994">
        <w:rPr>
          <w:rFonts w:hint="cs"/>
          <w:b/>
          <w:bCs/>
          <w:u w:val="single"/>
          <w:rtl/>
        </w:rPr>
        <w:t xml:space="preserve">6,400 </w:t>
      </w:r>
      <w:r w:rsidR="008E5AC8">
        <w:rPr>
          <w:rFonts w:hint="cs"/>
          <w:rtl/>
        </w:rPr>
        <w:t xml:space="preserve">₪ בממוצע שהינן </w:t>
      </w:r>
      <w:r w:rsidR="008E5AC8" w:rsidRPr="00490BBE">
        <w:rPr>
          <w:rFonts w:hint="cs"/>
          <w:u w:val="single"/>
          <w:rtl/>
        </w:rPr>
        <w:t>מעל שכר המינימום</w:t>
      </w:r>
      <w:r w:rsidR="008E5AC8">
        <w:rPr>
          <w:rFonts w:hint="cs"/>
          <w:rtl/>
        </w:rPr>
        <w:t>, ועל כן יש להסתפק בכך ולא להוסיף על כך.</w:t>
      </w:r>
    </w:p>
    <w:p w:rsidR="008E5AC8" w:rsidRDefault="008E5AC8" w:rsidP="009D4F9F">
      <w:pPr>
        <w:pStyle w:val="ad"/>
        <w:numPr>
          <w:ilvl w:val="0"/>
          <w:numId w:val="1"/>
        </w:numPr>
        <w:spacing w:after="120" w:line="360" w:lineRule="auto"/>
        <w:ind w:left="424" w:hanging="425"/>
        <w:contextualSpacing w:val="0"/>
      </w:pPr>
      <w:r w:rsidRPr="00385A6F">
        <w:rPr>
          <w:rFonts w:hint="cs"/>
          <w:u w:val="single"/>
          <w:rtl/>
        </w:rPr>
        <w:t>יחס ההכנסות</w:t>
      </w:r>
      <w:r>
        <w:rPr>
          <w:rFonts w:hint="cs"/>
          <w:rtl/>
        </w:rPr>
        <w:t xml:space="preserve">: עולה מהאמור כי יחס ההכנסות בין הצדדים הינו 67% לאב כנגד 33% לאם (במקום </w:t>
      </w:r>
      <w:r w:rsidRPr="00385A6F">
        <w:rPr>
          <w:rFonts w:hint="cs"/>
          <w:color w:val="000000" w:themeColor="text1"/>
          <w:rtl/>
        </w:rPr>
        <w:t>56% לאב כנגד 44% לאם כפי שנקבע בפסה</w:t>
      </w:r>
      <w:r w:rsidRPr="00385A6F">
        <w:rPr>
          <w:color w:val="000000" w:themeColor="text1"/>
          <w:rtl/>
        </w:rPr>
        <w:t>"</w:t>
      </w:r>
      <w:r w:rsidRPr="00385A6F">
        <w:rPr>
          <w:rFonts w:hint="cs"/>
          <w:color w:val="000000" w:themeColor="text1"/>
          <w:rtl/>
        </w:rPr>
        <w:t>ד</w:t>
      </w:r>
      <w:r>
        <w:rPr>
          <w:rFonts w:hint="cs"/>
          <w:rtl/>
        </w:rPr>
        <w:t xml:space="preserve">). אולם לאמיתו של דבר יחס ההכנסות הינו גדול יותר כפי שנסביר בסעיף 15 להלן. </w:t>
      </w:r>
    </w:p>
    <w:p w:rsidR="008E5AC8" w:rsidRPr="009905BA" w:rsidRDefault="008E5AC8" w:rsidP="0044601B">
      <w:pPr>
        <w:pStyle w:val="ad"/>
        <w:numPr>
          <w:ilvl w:val="0"/>
          <w:numId w:val="1"/>
        </w:numPr>
        <w:spacing w:after="120" w:line="360" w:lineRule="auto"/>
        <w:ind w:left="424" w:hanging="425"/>
        <w:contextualSpacing w:val="0"/>
      </w:pPr>
      <w:r w:rsidRPr="00385A6F">
        <w:rPr>
          <w:rFonts w:hint="cs"/>
          <w:u w:val="single"/>
          <w:rtl/>
        </w:rPr>
        <w:t>התחשבות ברכוש</w:t>
      </w:r>
      <w:r>
        <w:rPr>
          <w:rFonts w:hint="cs"/>
          <w:rtl/>
        </w:rPr>
        <w:t xml:space="preserve">: הלכה מושרשת היא, כי קביעת שיעור המזונות תיערך לא רק עפ"י הכנסות משכר עבודה אלא גם ממקורות </w:t>
      </w:r>
      <w:r w:rsidR="0044601B">
        <w:rPr>
          <w:rFonts w:hint="cs"/>
          <w:rtl/>
        </w:rPr>
        <w:t>אחרים וביניהם רכוש מכל סוג (הלכת</w:t>
      </w:r>
      <w:r>
        <w:rPr>
          <w:rFonts w:hint="cs"/>
          <w:rtl/>
        </w:rPr>
        <w:t xml:space="preserve"> </w:t>
      </w:r>
      <w:r w:rsidRPr="00385A6F">
        <w:rPr>
          <w:rFonts w:hint="cs"/>
          <w:b/>
          <w:bCs/>
          <w:rtl/>
        </w:rPr>
        <w:t>פרייס</w:t>
      </w:r>
      <w:r>
        <w:rPr>
          <w:rFonts w:hint="cs"/>
          <w:rtl/>
        </w:rPr>
        <w:t xml:space="preserve"> </w:t>
      </w:r>
      <w:r>
        <w:rPr>
          <w:rtl/>
        </w:rPr>
        <w:t>–</w:t>
      </w:r>
      <w:r>
        <w:rPr>
          <w:rFonts w:hint="cs"/>
          <w:rtl/>
        </w:rPr>
        <w:t xml:space="preserve"> ע"א 130/83 </w:t>
      </w:r>
      <w:r w:rsidRPr="00385A6F">
        <w:rPr>
          <w:rFonts w:hint="cs"/>
          <w:b/>
          <w:bCs/>
          <w:rtl/>
        </w:rPr>
        <w:t>פרייס נ' פרייס</w:t>
      </w:r>
      <w:r>
        <w:rPr>
          <w:rFonts w:hint="cs"/>
          <w:rtl/>
        </w:rPr>
        <w:t xml:space="preserve">; ועוד). בנידונינו בימ"ש קמא לא נתן לכך ביטוי בפסה"ד, הגם שהאב </w:t>
      </w:r>
      <w:r>
        <w:rPr>
          <w:rFonts w:hint="cs"/>
          <w:rtl/>
        </w:rPr>
        <w:lastRenderedPageBreak/>
        <w:t xml:space="preserve">עובד </w:t>
      </w:r>
      <w:r w:rsidR="0044601B">
        <w:rPr>
          <w:rFonts w:hint="cs"/>
          <w:rtl/>
        </w:rPr>
        <w:t>כ...</w:t>
      </w:r>
      <w:r>
        <w:rPr>
          <w:rFonts w:hint="cs"/>
          <w:rtl/>
        </w:rPr>
        <w:t xml:space="preserve"> ומתלושי המשכורת עולה כי קיימות לו הפרשות רבות לקופות גמל/פנסיה, קרן השתלמות, בסדר גודל של למעלה מ-1,000 ₪ לחודש, בעוד</w:t>
      </w:r>
      <w:r w:rsidRPr="009D3379">
        <w:rPr>
          <w:rFonts w:hint="cs"/>
          <w:rtl/>
        </w:rPr>
        <w:t xml:space="preserve"> </w:t>
      </w:r>
      <w:r>
        <w:rPr>
          <w:rFonts w:hint="cs"/>
          <w:rtl/>
        </w:rPr>
        <w:t>שלאם מנגד אין כל רכוש ממשי הואיל והכנסתה העיקרית הינה מקיצבת הנכות. פער זה מן הראוי שיבוא בחשבון תחשיב המזונות.</w:t>
      </w:r>
    </w:p>
    <w:p w:rsidR="008E5AC8" w:rsidRDefault="008E5AC8" w:rsidP="009D4F9F">
      <w:pPr>
        <w:pStyle w:val="ad"/>
        <w:numPr>
          <w:ilvl w:val="0"/>
          <w:numId w:val="1"/>
        </w:numPr>
        <w:spacing w:after="120" w:line="360" w:lineRule="auto"/>
        <w:ind w:left="424" w:hanging="425"/>
        <w:contextualSpacing w:val="0"/>
      </w:pPr>
      <w:r w:rsidRPr="009905BA">
        <w:rPr>
          <w:rFonts w:hint="cs"/>
          <w:u w:val="single"/>
          <w:rtl/>
        </w:rPr>
        <w:t>מגורי האם והקטינה</w:t>
      </w:r>
      <w:r>
        <w:rPr>
          <w:rFonts w:hint="cs"/>
          <w:rtl/>
        </w:rPr>
        <w:t>: ראשית התברר בדיון בפנינו כי המערערת כבר יצאה מבית הוריה ועברה להתגורר בדירה שכורה ועל כן התווסף לחיוב המזונות רכיב המדור כפי שקבע בימ</w:t>
      </w:r>
      <w:r>
        <w:rPr>
          <w:rtl/>
        </w:rPr>
        <w:t>"</w:t>
      </w:r>
      <w:r>
        <w:rPr>
          <w:rFonts w:hint="cs"/>
          <w:rtl/>
        </w:rPr>
        <w:t>ש קמא (עמ' 2 לפרו</w:t>
      </w:r>
      <w:r>
        <w:rPr>
          <w:rtl/>
        </w:rPr>
        <w:t>'</w:t>
      </w:r>
      <w:r>
        <w:rPr>
          <w:rFonts w:hint="cs"/>
          <w:rtl/>
        </w:rPr>
        <w:t xml:space="preserve"> ש</w:t>
      </w:r>
      <w:r>
        <w:rPr>
          <w:rtl/>
        </w:rPr>
        <w:t>'</w:t>
      </w:r>
      <w:r>
        <w:rPr>
          <w:rFonts w:hint="cs"/>
          <w:rtl/>
        </w:rPr>
        <w:t xml:space="preserve"> 16). </w:t>
      </w:r>
    </w:p>
    <w:p w:rsidR="008E5AC8" w:rsidRDefault="009D4F9F" w:rsidP="009D4F9F">
      <w:pPr>
        <w:pStyle w:val="ad"/>
        <w:spacing w:after="120" w:line="360" w:lineRule="auto"/>
        <w:ind w:left="424" w:hanging="425"/>
        <w:contextualSpacing w:val="0"/>
        <w:rPr>
          <w:rtl/>
        </w:rPr>
      </w:pPr>
      <w:r>
        <w:rPr>
          <w:rtl/>
        </w:rPr>
        <w:tab/>
      </w:r>
      <w:r w:rsidR="008E5AC8">
        <w:rPr>
          <w:rFonts w:hint="cs"/>
          <w:rtl/>
        </w:rPr>
        <w:t xml:space="preserve">ברם גם לתקופה שהאם והקטינה התגוררו בבית הוריה, זכאית האם להשתתפות </w:t>
      </w:r>
      <w:r w:rsidR="008E5AC8" w:rsidRPr="009905BA">
        <w:rPr>
          <w:rFonts w:hint="cs"/>
          <w:u w:val="single"/>
          <w:rtl/>
        </w:rPr>
        <w:t>בהוצאות אחזקת</w:t>
      </w:r>
      <w:r w:rsidR="008E5AC8">
        <w:rPr>
          <w:rFonts w:hint="cs"/>
          <w:rtl/>
        </w:rPr>
        <w:t xml:space="preserve"> המדור שכן הוצאות אלו כוללות בתוכן גם חלק מסוים בגין מגורי הקטינה. </w:t>
      </w:r>
    </w:p>
    <w:p w:rsidR="008E5AC8" w:rsidRDefault="009D4F9F" w:rsidP="009D4F9F">
      <w:pPr>
        <w:pStyle w:val="ad"/>
        <w:spacing w:after="120" w:line="360" w:lineRule="auto"/>
        <w:ind w:left="424" w:hanging="425"/>
        <w:contextualSpacing w:val="0"/>
        <w:rPr>
          <w:rtl/>
        </w:rPr>
      </w:pPr>
      <w:r>
        <w:rPr>
          <w:rtl/>
        </w:rPr>
        <w:tab/>
      </w:r>
      <w:r w:rsidR="008E5AC8">
        <w:rPr>
          <w:rFonts w:hint="cs"/>
          <w:rtl/>
        </w:rPr>
        <w:t>כך או כך, והואיל וכיום גם לאם יש הוצאות שכירות, והואיל ולצורך יחס ההכנסות חישב בימ</w:t>
      </w:r>
      <w:r w:rsidR="008E5AC8">
        <w:rPr>
          <w:rtl/>
        </w:rPr>
        <w:t>"</w:t>
      </w:r>
      <w:r w:rsidR="008E5AC8">
        <w:rPr>
          <w:rFonts w:hint="cs"/>
          <w:rtl/>
        </w:rPr>
        <w:t xml:space="preserve">ש קמא את הכנסת האב </w:t>
      </w:r>
      <w:r w:rsidR="008E5AC8" w:rsidRPr="009905BA">
        <w:rPr>
          <w:rFonts w:hint="cs"/>
          <w:u w:val="single"/>
          <w:rtl/>
        </w:rPr>
        <w:t>בניכוי</w:t>
      </w:r>
      <w:r w:rsidR="008E5AC8">
        <w:rPr>
          <w:rFonts w:hint="cs"/>
          <w:rtl/>
        </w:rPr>
        <w:t xml:space="preserve"> הוצאות שכר הדירה בסך 3,200 ₪, והואיל וכיום גם לאם קיימת הוצאה בגין שכירות מדור, אמנם הצדדים לא פירטו בפנינו מהו גובה שכר הדירה שמשלמת האם אולם יש להניח כי הוא איננו נופל מהסכום אותו משלם האב בגין שכירות מדורו, על כן תחשיב יחס ההכנסות הנכון בין הצדדים </w:t>
      </w:r>
      <w:r w:rsidR="008E5AC8" w:rsidRPr="00374AC0">
        <w:rPr>
          <w:rFonts w:hint="cs"/>
          <w:u w:val="single"/>
          <w:rtl/>
        </w:rPr>
        <w:t>לאחר ניכוי הוצאות השכירות אצל שני הצדדים</w:t>
      </w:r>
      <w:r w:rsidR="008E5AC8">
        <w:rPr>
          <w:rFonts w:hint="cs"/>
          <w:rtl/>
        </w:rPr>
        <w:t xml:space="preserve">, הינו: </w:t>
      </w:r>
      <w:r w:rsidR="008E5AC8" w:rsidRPr="009905BA">
        <w:rPr>
          <w:rFonts w:hint="cs"/>
          <w:b/>
          <w:bCs/>
          <w:u w:val="single"/>
          <w:rtl/>
        </w:rPr>
        <w:t>7</w:t>
      </w:r>
      <w:r w:rsidR="008E5AC8">
        <w:rPr>
          <w:rFonts w:hint="cs"/>
          <w:b/>
          <w:bCs/>
          <w:u w:val="single"/>
          <w:rtl/>
        </w:rPr>
        <w:t>0</w:t>
      </w:r>
      <w:r w:rsidR="008E5AC8" w:rsidRPr="009905BA">
        <w:rPr>
          <w:rFonts w:hint="cs"/>
          <w:b/>
          <w:bCs/>
          <w:u w:val="single"/>
          <w:rtl/>
        </w:rPr>
        <w:t xml:space="preserve">% לאב כנגד </w:t>
      </w:r>
      <w:r w:rsidR="008E5AC8">
        <w:rPr>
          <w:rFonts w:hint="cs"/>
          <w:b/>
          <w:bCs/>
          <w:u w:val="single"/>
          <w:rtl/>
        </w:rPr>
        <w:t>30</w:t>
      </w:r>
      <w:r w:rsidR="008E5AC8" w:rsidRPr="009905BA">
        <w:rPr>
          <w:rFonts w:hint="cs"/>
          <w:b/>
          <w:bCs/>
          <w:u w:val="single"/>
          <w:rtl/>
        </w:rPr>
        <w:t>% לאם</w:t>
      </w:r>
      <w:r w:rsidR="008E5AC8">
        <w:rPr>
          <w:rFonts w:hint="cs"/>
          <w:color w:val="000000" w:themeColor="text1"/>
          <w:rtl/>
        </w:rPr>
        <w:t xml:space="preserve"> </w:t>
      </w:r>
      <w:r w:rsidR="008E5AC8">
        <w:rPr>
          <w:rFonts w:hint="cs"/>
          <w:rtl/>
        </w:rPr>
        <w:t xml:space="preserve">(במקום </w:t>
      </w:r>
      <w:r w:rsidR="008E5AC8" w:rsidRPr="009905BA">
        <w:rPr>
          <w:rFonts w:hint="cs"/>
          <w:color w:val="000000" w:themeColor="text1"/>
          <w:rtl/>
        </w:rPr>
        <w:t>56% לאב כנגד 44% לאם כפי שנקבע ב</w:t>
      </w:r>
      <w:r w:rsidR="008E5AC8">
        <w:rPr>
          <w:rFonts w:hint="cs"/>
          <w:color w:val="000000" w:themeColor="text1"/>
          <w:rtl/>
        </w:rPr>
        <w:t>פסה</w:t>
      </w:r>
      <w:r w:rsidR="008E5AC8">
        <w:rPr>
          <w:color w:val="000000" w:themeColor="text1"/>
          <w:rtl/>
        </w:rPr>
        <w:t>"</w:t>
      </w:r>
      <w:r w:rsidR="008E5AC8">
        <w:rPr>
          <w:rFonts w:hint="cs"/>
          <w:color w:val="000000" w:themeColor="text1"/>
          <w:rtl/>
        </w:rPr>
        <w:t>ד</w:t>
      </w:r>
      <w:r w:rsidR="008E5AC8">
        <w:rPr>
          <w:rFonts w:hint="cs"/>
          <w:rtl/>
        </w:rPr>
        <w:t xml:space="preserve">) </w:t>
      </w:r>
      <w:r w:rsidR="008E5AC8">
        <w:rPr>
          <w:rtl/>
        </w:rPr>
        <w:t>–</w:t>
      </w:r>
      <w:r w:rsidR="008E5AC8">
        <w:rPr>
          <w:rFonts w:hint="cs"/>
          <w:rtl/>
        </w:rPr>
        <w:t xml:space="preserve"> פער זה בלבד מצדיק את התערבותה של ערכאת הערעור בסכום המזונות שהתבסס על יחס נמוך מזה בהרבה: 56% כנגד 44%, תוך שעל כך יש </w:t>
      </w:r>
      <w:r w:rsidR="008E5AC8" w:rsidRPr="00024A4C">
        <w:rPr>
          <w:rFonts w:hint="cs"/>
          <w:b/>
          <w:bCs/>
          <w:rtl/>
        </w:rPr>
        <w:t>להוסיף ולהביא לידי ביטוי</w:t>
      </w:r>
      <w:r w:rsidR="008E5AC8">
        <w:rPr>
          <w:rFonts w:hint="cs"/>
          <w:rtl/>
        </w:rPr>
        <w:t xml:space="preserve"> את אשר ציין בימ"ש קמא, </w:t>
      </w:r>
      <w:r w:rsidR="008E5AC8">
        <w:rPr>
          <w:rFonts w:hint="cs"/>
          <w:color w:val="000000" w:themeColor="text1"/>
          <w:rtl/>
        </w:rPr>
        <w:t>שהאב לא המציא תלושי משכורת לאחר 3/23 הגם שאת סיכומיו הגיש בחודש 12/23 ועל כן חוסר זה עומד לחובת האב כפי שקבע בימ"ש קמא (סע' 38-39 לפסה"ד).</w:t>
      </w:r>
    </w:p>
    <w:p w:rsidR="008E5AC8" w:rsidRPr="009905BA" w:rsidRDefault="008E5AC8" w:rsidP="009D4F9F">
      <w:pPr>
        <w:pStyle w:val="ad"/>
        <w:numPr>
          <w:ilvl w:val="0"/>
          <w:numId w:val="1"/>
        </w:numPr>
        <w:spacing w:after="120" w:line="360" w:lineRule="auto"/>
        <w:ind w:left="424" w:hanging="425"/>
        <w:contextualSpacing w:val="0"/>
        <w:rPr>
          <w:u w:val="single"/>
        </w:rPr>
      </w:pPr>
      <w:r w:rsidRPr="009905BA">
        <w:rPr>
          <w:rFonts w:hint="cs"/>
          <w:u w:val="single"/>
          <w:rtl/>
        </w:rPr>
        <w:t>צרכי הקטינה</w:t>
      </w:r>
      <w:r>
        <w:rPr>
          <w:rFonts w:hint="cs"/>
          <w:rtl/>
        </w:rPr>
        <w:t>: סבורני כי העמדת בימ</w:t>
      </w:r>
      <w:r>
        <w:rPr>
          <w:rtl/>
        </w:rPr>
        <w:t>"</w:t>
      </w:r>
      <w:r>
        <w:rPr>
          <w:rFonts w:hint="cs"/>
          <w:rtl/>
        </w:rPr>
        <w:t xml:space="preserve">ש קמא את צרכי הקטינה על 1,600 ₪ בלבד במקרה דנן, הינו על הצד הנמוך, וזאת בשים לב להכנסות הכוללות של הצדדים, אשר אפשרו לקטינה רמת חיים מעל המינימום הנדרש. </w:t>
      </w:r>
    </w:p>
    <w:p w:rsidR="008E5AC8" w:rsidRDefault="009D4F9F" w:rsidP="009D4F9F">
      <w:pPr>
        <w:pStyle w:val="ad"/>
        <w:spacing w:after="120" w:line="360" w:lineRule="auto"/>
        <w:ind w:left="424" w:hanging="425"/>
        <w:contextualSpacing w:val="0"/>
        <w:rPr>
          <w:rtl/>
        </w:rPr>
      </w:pPr>
      <w:r>
        <w:rPr>
          <w:rtl/>
        </w:rPr>
        <w:lastRenderedPageBreak/>
        <w:tab/>
      </w:r>
      <w:r w:rsidR="008E5AC8" w:rsidRPr="009905BA">
        <w:rPr>
          <w:rFonts w:hint="cs"/>
          <w:rtl/>
        </w:rPr>
        <w:t>בעמ"ש</w:t>
      </w:r>
      <w:r w:rsidR="008E5AC8">
        <w:rPr>
          <w:rFonts w:hint="cs"/>
          <w:rtl/>
        </w:rPr>
        <w:t xml:space="preserve"> 65692-11-19 </w:t>
      </w:r>
      <w:r w:rsidR="008E5AC8">
        <w:rPr>
          <w:rFonts w:hint="cs"/>
          <w:b/>
          <w:bCs/>
          <w:rtl/>
        </w:rPr>
        <w:t>ס' נ' ס'</w:t>
      </w:r>
      <w:r w:rsidR="008E5AC8">
        <w:rPr>
          <w:rFonts w:hint="cs"/>
          <w:rtl/>
        </w:rPr>
        <w:t xml:space="preserve"> </w:t>
      </w:r>
      <w:r w:rsidR="008E5AC8" w:rsidRPr="009905BA">
        <w:rPr>
          <w:rFonts w:hint="cs"/>
          <w:u w:val="single"/>
          <w:rtl/>
        </w:rPr>
        <w:t>אשר ניתן בשנת 2020</w:t>
      </w:r>
      <w:r w:rsidR="008E5AC8">
        <w:rPr>
          <w:rFonts w:hint="cs"/>
          <w:rtl/>
        </w:rPr>
        <w:t xml:space="preserve"> (22.9.20) ניצל ביהמ</w:t>
      </w:r>
      <w:r w:rsidR="008E5AC8">
        <w:rPr>
          <w:rtl/>
        </w:rPr>
        <w:t>"</w:t>
      </w:r>
      <w:r w:rsidR="008E5AC8">
        <w:rPr>
          <w:rFonts w:hint="cs"/>
          <w:rtl/>
        </w:rPr>
        <w:t xml:space="preserve">ש את ההזדמנות והתייחס לשיעור צרכיו של קטין המותאם לתקופתנו, תוך שסקר את הפסיקות השונות, והגיע למסקנה כי צרכי קטין שאינם נדרשים לראיה, מוערכים כיום (שנת 2020) בסכומים הנעים בין 1,600 ₪ ל-1,900 ₪ כסך מינימלי חודשי, וכאשר הקטין נדרש לחלוק את זמני השהות בשני בתים, עלות צרכיו מגיעה לסך מינימלי של 2,250 ₪  (סעיף 22 שם וראה את אזכורי הפסיקה הרבים שם). </w:t>
      </w:r>
    </w:p>
    <w:p w:rsidR="008E5AC8" w:rsidRDefault="009D4F9F" w:rsidP="009D4F9F">
      <w:pPr>
        <w:pStyle w:val="ad"/>
        <w:spacing w:after="120" w:line="360" w:lineRule="auto"/>
        <w:ind w:left="424" w:hanging="425"/>
        <w:contextualSpacing w:val="0"/>
        <w:rPr>
          <w:rtl/>
        </w:rPr>
      </w:pPr>
      <w:r>
        <w:rPr>
          <w:rtl/>
        </w:rPr>
        <w:tab/>
      </w:r>
      <w:r w:rsidR="008E5AC8">
        <w:rPr>
          <w:rFonts w:hint="cs"/>
          <w:rtl/>
        </w:rPr>
        <w:t xml:space="preserve">לאור האמור, ובשים לב להכנסות הכוללות של הצדדים, סבורני שבנידונינו, העמדת צרכי הקטינה על 1,600 ₪ הינו על הצד הנמוך. </w:t>
      </w:r>
    </w:p>
    <w:p w:rsidR="008E5AC8" w:rsidRDefault="008E5AC8" w:rsidP="009D4F9F">
      <w:pPr>
        <w:pStyle w:val="ad"/>
        <w:numPr>
          <w:ilvl w:val="0"/>
          <w:numId w:val="1"/>
        </w:numPr>
        <w:spacing w:after="120" w:line="360" w:lineRule="auto"/>
        <w:ind w:left="424" w:hanging="425"/>
        <w:contextualSpacing w:val="0"/>
      </w:pPr>
      <w:r w:rsidRPr="00385A6F">
        <w:rPr>
          <w:rFonts w:hint="cs"/>
          <w:u w:val="single"/>
          <w:rtl/>
        </w:rPr>
        <w:t>חלוקת נטל הנשיאה בהוצאות החינוך והבריאות</w:t>
      </w:r>
      <w:r>
        <w:rPr>
          <w:rFonts w:hint="cs"/>
          <w:rtl/>
        </w:rPr>
        <w:t>: בהינתן שיחס ההכנסות בין הצדדים הינו כפי שקבע בימ</w:t>
      </w:r>
      <w:r>
        <w:rPr>
          <w:rtl/>
        </w:rPr>
        <w:t>"</w:t>
      </w:r>
      <w:r>
        <w:rPr>
          <w:rFonts w:hint="cs"/>
          <w:rtl/>
        </w:rPr>
        <w:t xml:space="preserve">ש קמא 56% כנגד 44%, קביעתו כי שני הצדדים יישאו שווה בשווה בנטל הוצאות החינוך והבריאות ולאו דווקא בשיעור יחס ההכנסות של 56% כנגד 44%, איננה מצדיקה התערבות מצד ערכאת הערעור, שכן מדובר בפער נמוך, שאיננו מוביל בהכרח למסקנה כי יש לחלק את הנטל דווקא בשיעור זהה ליחס ההכנסות. ברם לאור המסקנה לעיל, שהפער בין הכנסות הצדדים הינו גדול הרבה יותר (70% כנגד 30%), אין כל הצדקה שחלוקת הנטל בהוצאות החינוך והבריאות תהיה שווה. </w:t>
      </w:r>
    </w:p>
    <w:p w:rsidR="008E5AC8" w:rsidRDefault="008E5AC8" w:rsidP="009D4F9F">
      <w:pPr>
        <w:pStyle w:val="ad"/>
        <w:numPr>
          <w:ilvl w:val="0"/>
          <w:numId w:val="1"/>
        </w:numPr>
        <w:spacing w:after="120" w:line="360" w:lineRule="auto"/>
        <w:ind w:left="424" w:hanging="425"/>
        <w:contextualSpacing w:val="0"/>
        <w:rPr>
          <w:rtl/>
        </w:rPr>
      </w:pPr>
      <w:r>
        <w:rPr>
          <w:rFonts w:hint="cs"/>
          <w:rtl/>
        </w:rPr>
        <w:t xml:space="preserve">הגם שלאור הלכ' בע"מ 919/15 קיימים בפסיקות בתי המשפט נוסחאות מתמטיות שונות לחישובי המזונות, גם באותן פסיקות אשר מעודדות שימוש בנוסחאות על מנת להגיע עד כמה שאפשר לדרך אחידה ופשוטה בקביעת המזונות, מוסכם כי מודל זה איננו מתאים ליישום בכל מקרה ומקרה ולא בכל מקרה יש </w:t>
      </w:r>
      <w:r w:rsidRPr="009D3379">
        <w:rPr>
          <w:rtl/>
        </w:rPr>
        <w:t xml:space="preserve">בכוחו של חישוב מתמטי מדויק להכיל ולהביא לידי ביטוי את נסיבותיו הייחודיות של המקרה העומד לפתחו של </w:t>
      </w:r>
      <w:r>
        <w:rPr>
          <w:rtl/>
        </w:rPr>
        <w:t>ביהמ"ש</w:t>
      </w:r>
      <w:r w:rsidRPr="009D3379">
        <w:rPr>
          <w:rtl/>
        </w:rPr>
        <w:t xml:space="preserve">. החיים אינם מדע מדויק, במיוחד כאשר עסקינן בגידולם ובצרכיהם המשתנים כל העת של קטינים. לפיכך שומה על </w:t>
      </w:r>
      <w:r>
        <w:rPr>
          <w:rtl/>
        </w:rPr>
        <w:t>ביהמ"ש</w:t>
      </w:r>
      <w:r w:rsidRPr="009D3379">
        <w:rPr>
          <w:rtl/>
        </w:rPr>
        <w:t xml:space="preserve"> לבחון את הדברים בראייה כוללת, בשים לב לשיקול הדעת המוקנה ל</w:t>
      </w:r>
      <w:r>
        <w:rPr>
          <w:rtl/>
        </w:rPr>
        <w:t>ביהמ"ש</w:t>
      </w:r>
      <w:r w:rsidRPr="009D3379">
        <w:rPr>
          <w:rtl/>
        </w:rPr>
        <w:t xml:space="preserve"> בקביעת טובתו של הקטין, ובכלל זה קביעת גובה המזונות. </w:t>
      </w:r>
      <w:r w:rsidRPr="00385A6F">
        <w:rPr>
          <w:rFonts w:ascii="Aharoni" w:hAnsi="Aharoni" w:cs="Aharoni"/>
          <w:rtl/>
        </w:rPr>
        <w:t xml:space="preserve">"השימוש בנוסחאות לצורך חישוב המזונות יהווה אם כן את ברירת המחדל, ממנה ראוי יהיה לסטות במקרים המתאימים </w:t>
      </w:r>
      <w:r w:rsidRPr="00385A6F">
        <w:rPr>
          <w:rFonts w:ascii="Aharoni" w:hAnsi="Aharoni" w:cs="Aharoni"/>
          <w:rtl/>
        </w:rPr>
        <w:lastRenderedPageBreak/>
        <w:t xml:space="preserve">וככל שתמצא לכך הצדקה. כך לדוגמה, במקרי קיצון של </w:t>
      </w:r>
      <w:r w:rsidRPr="00385A6F">
        <w:rPr>
          <w:rFonts w:ascii="Aharoni" w:hAnsi="Aharoni" w:cs="Aharoni"/>
          <w:u w:val="single"/>
          <w:rtl/>
        </w:rPr>
        <w:t xml:space="preserve">פערים גדולים בהכנסות כל אחד מהצדדים </w:t>
      </w:r>
      <w:r w:rsidRPr="00385A6F">
        <w:rPr>
          <w:rFonts w:ascii="Aharoni" w:hAnsi="Aharoni" w:cs="Aharoni"/>
          <w:rtl/>
        </w:rPr>
        <w:t xml:space="preserve">או </w:t>
      </w:r>
      <w:r w:rsidRPr="00385A6F">
        <w:rPr>
          <w:rFonts w:ascii="Aharoni" w:hAnsi="Aharoni" w:cs="Aharoni"/>
          <w:u w:val="single"/>
          <w:rtl/>
        </w:rPr>
        <w:t>במשך שהיית הקטינים אצל מי מההורים</w:t>
      </w:r>
      <w:r w:rsidRPr="00385A6F">
        <w:rPr>
          <w:rFonts w:ascii="Aharoni" w:hAnsi="Aharoni" w:cs="Aharoni"/>
          <w:rtl/>
        </w:rPr>
        <w:t>."</w:t>
      </w:r>
      <w:r>
        <w:rPr>
          <w:rFonts w:hint="cs"/>
          <w:rtl/>
        </w:rPr>
        <w:t xml:space="preserve"> [</w:t>
      </w:r>
      <w:r w:rsidRPr="009D3379">
        <w:rPr>
          <w:rtl/>
        </w:rPr>
        <w:t>עמ"ש (מחוזי חיפה) 42513-09-14 </w:t>
      </w:r>
      <w:r w:rsidRPr="00385A6F">
        <w:rPr>
          <w:b/>
          <w:bCs/>
          <w:rtl/>
        </w:rPr>
        <w:t>א.ש נ' י. ש</w:t>
      </w:r>
      <w:r w:rsidRPr="009D3379">
        <w:rPr>
          <w:rtl/>
        </w:rPr>
        <w:t> </w:t>
      </w:r>
      <w:r>
        <w:rPr>
          <w:rtl/>
        </w:rPr>
        <w:t>(נבו 4.1.2015)</w:t>
      </w:r>
      <w:r>
        <w:rPr>
          <w:rFonts w:hint="cs"/>
          <w:rtl/>
        </w:rPr>
        <w:t>]</w:t>
      </w:r>
    </w:p>
    <w:p w:rsidR="008E5AC8" w:rsidRDefault="008E5AC8" w:rsidP="009D4F9F">
      <w:pPr>
        <w:pStyle w:val="ad"/>
        <w:numPr>
          <w:ilvl w:val="0"/>
          <w:numId w:val="1"/>
        </w:numPr>
        <w:spacing w:after="120" w:line="360" w:lineRule="auto"/>
        <w:ind w:left="424" w:hanging="425"/>
        <w:contextualSpacing w:val="0"/>
        <w:rPr>
          <w:rtl/>
        </w:rPr>
      </w:pPr>
      <w:r>
        <w:rPr>
          <w:rFonts w:hint="cs"/>
          <w:rtl/>
        </w:rPr>
        <w:t xml:space="preserve">לאור כל האמור, ובשים לב לפער בין הכנסות הצדדים (70% כנגד 30%), בצד זמני השהות המועטים של הקטינה עם האב (15%), תוך הבאה בחשבון שהאב לא הציג את תלושי משכורתו לאחר 3/23, כמו כן הבאה בחשבון כי לאב רכוש (זכויות סוציאליות רבות, קרן השתלמות, הטבות שונות) ומנגד העדר רכוש אצל האם, ובשים לב לחובת האב להשתתף בהוצאות אחזקת המדור בבית הורי האם, אמליץ לחבריי לקבל את הערעור ולהתערב בפסק דינו של בימ"ש קמא </w:t>
      </w:r>
      <w:r w:rsidRPr="00385A6F">
        <w:rPr>
          <w:rFonts w:hint="cs"/>
          <w:u w:val="single"/>
          <w:rtl/>
        </w:rPr>
        <w:t>ולקבוע את חיובי המזונות כדלקמן</w:t>
      </w:r>
      <w:r>
        <w:rPr>
          <w:rFonts w:hint="cs"/>
          <w:rtl/>
        </w:rPr>
        <w:t>:</w:t>
      </w:r>
    </w:p>
    <w:p w:rsidR="008E5AC8" w:rsidRDefault="008E5AC8" w:rsidP="008E5AC8">
      <w:pPr>
        <w:pStyle w:val="ad"/>
        <w:numPr>
          <w:ilvl w:val="0"/>
          <w:numId w:val="4"/>
        </w:numPr>
        <w:spacing w:after="120" w:line="360" w:lineRule="auto"/>
        <w:contextualSpacing w:val="0"/>
      </w:pPr>
      <w:r>
        <w:rPr>
          <w:rFonts w:hint="cs"/>
          <w:rtl/>
        </w:rPr>
        <w:t>עד הגיע הקטינה לגיל 6 היינו עד לחודש 3/26 ועד בכלל, ורטרואקטיבית מהמועד שקבע בימ</w:t>
      </w:r>
      <w:r>
        <w:rPr>
          <w:rtl/>
        </w:rPr>
        <w:t>"</w:t>
      </w:r>
      <w:r>
        <w:rPr>
          <w:rFonts w:hint="cs"/>
          <w:rtl/>
        </w:rPr>
        <w:t>ש קמא בפסה</w:t>
      </w:r>
      <w:r>
        <w:rPr>
          <w:rtl/>
        </w:rPr>
        <w:t>"</w:t>
      </w:r>
      <w:r>
        <w:rPr>
          <w:rFonts w:hint="cs"/>
          <w:rtl/>
        </w:rPr>
        <w:t xml:space="preserve">ד קרי 1.7.21, </w:t>
      </w:r>
      <w:r w:rsidRPr="00F70734">
        <w:rPr>
          <w:rFonts w:hint="cs"/>
          <w:b/>
          <w:bCs/>
          <w:rtl/>
        </w:rPr>
        <w:t>חיוב המזונות יעמוד על 2,</w:t>
      </w:r>
      <w:r>
        <w:rPr>
          <w:rFonts w:hint="cs"/>
          <w:b/>
          <w:bCs/>
          <w:rtl/>
        </w:rPr>
        <w:t>200</w:t>
      </w:r>
      <w:r w:rsidRPr="00F70734">
        <w:rPr>
          <w:rFonts w:hint="cs"/>
          <w:b/>
          <w:bCs/>
          <w:rtl/>
        </w:rPr>
        <w:t xml:space="preserve"> ₪ לחודש</w:t>
      </w:r>
      <w:r>
        <w:rPr>
          <w:rFonts w:hint="cs"/>
          <w:rtl/>
        </w:rPr>
        <w:t xml:space="preserve">. </w:t>
      </w:r>
    </w:p>
    <w:p w:rsidR="008E5AC8" w:rsidRDefault="008E5AC8" w:rsidP="008E5AC8">
      <w:pPr>
        <w:pStyle w:val="ad"/>
        <w:numPr>
          <w:ilvl w:val="0"/>
          <w:numId w:val="4"/>
        </w:numPr>
        <w:spacing w:after="120" w:line="360" w:lineRule="auto"/>
        <w:contextualSpacing w:val="0"/>
        <w:rPr>
          <w:b/>
          <w:bCs/>
        </w:rPr>
      </w:pPr>
      <w:r>
        <w:rPr>
          <w:rFonts w:hint="cs"/>
          <w:rtl/>
        </w:rPr>
        <w:t xml:space="preserve">בהגיע הקטינה לגיל 6 היינו החל מחודש 4/26 ועד הגיע הקטינה לגיל 18 או עד לסיום הלימודים, לפי המאוחר, </w:t>
      </w:r>
      <w:r w:rsidRPr="00F70734">
        <w:rPr>
          <w:rFonts w:hint="cs"/>
          <w:b/>
          <w:bCs/>
          <w:rtl/>
        </w:rPr>
        <w:t xml:space="preserve">חיוב </w:t>
      </w:r>
      <w:r>
        <w:rPr>
          <w:rFonts w:hint="cs"/>
          <w:b/>
          <w:bCs/>
          <w:rtl/>
        </w:rPr>
        <w:t>המזונות יעמוד על 1,900 ₪ לחודש.</w:t>
      </w:r>
    </w:p>
    <w:p w:rsidR="008E5AC8" w:rsidRPr="00F70734" w:rsidRDefault="008E5AC8" w:rsidP="008E5AC8">
      <w:pPr>
        <w:pStyle w:val="ad"/>
        <w:numPr>
          <w:ilvl w:val="0"/>
          <w:numId w:val="4"/>
        </w:numPr>
        <w:spacing w:after="120" w:line="360" w:lineRule="auto"/>
        <w:contextualSpacing w:val="0"/>
        <w:rPr>
          <w:b/>
          <w:bCs/>
        </w:rPr>
      </w:pPr>
      <w:r>
        <w:rPr>
          <w:rFonts w:hint="cs"/>
          <w:rtl/>
        </w:rPr>
        <w:t>לסכומים הנ"ל יתווסף חיוב מדור בשיעור של 30% מדמי השכירות של האם כפי שקבע בימ</w:t>
      </w:r>
      <w:r>
        <w:rPr>
          <w:rtl/>
        </w:rPr>
        <w:t>"</w:t>
      </w:r>
      <w:r>
        <w:rPr>
          <w:rFonts w:hint="cs"/>
          <w:rtl/>
        </w:rPr>
        <w:t xml:space="preserve">ש קמא בפסק דינו, וזאת החל ממועד תחילת השכירות (שכאמור לא צוין בפנינו). </w:t>
      </w:r>
    </w:p>
    <w:p w:rsidR="008E5AC8" w:rsidRDefault="008E5AC8" w:rsidP="008E5AC8">
      <w:pPr>
        <w:pStyle w:val="ad"/>
        <w:numPr>
          <w:ilvl w:val="0"/>
          <w:numId w:val="4"/>
        </w:numPr>
        <w:spacing w:after="120" w:line="360" w:lineRule="auto"/>
        <w:contextualSpacing w:val="0"/>
        <w:rPr>
          <w:b/>
          <w:bCs/>
        </w:rPr>
      </w:pPr>
      <w:r>
        <w:rPr>
          <w:rFonts w:hint="cs"/>
          <w:rtl/>
        </w:rPr>
        <w:t>בהוצאות החינוך והבריאות המפורטים בסעיף 57 לפסה</w:t>
      </w:r>
      <w:r>
        <w:rPr>
          <w:rtl/>
        </w:rPr>
        <w:t>"</w:t>
      </w:r>
      <w:r>
        <w:rPr>
          <w:rFonts w:hint="cs"/>
          <w:rtl/>
        </w:rPr>
        <w:t xml:space="preserve">ד, יישאו הצדדים </w:t>
      </w:r>
      <w:r>
        <w:rPr>
          <w:rtl/>
        </w:rPr>
        <w:t>–</w:t>
      </w:r>
      <w:r>
        <w:rPr>
          <w:rFonts w:hint="cs"/>
          <w:b/>
          <w:bCs/>
          <w:rtl/>
        </w:rPr>
        <w:t xml:space="preserve"> האב ב-70% ואילו האם ב-30%. </w:t>
      </w:r>
    </w:p>
    <w:p w:rsidR="008E5AC8" w:rsidRDefault="008E5AC8" w:rsidP="008E5AC8">
      <w:pPr>
        <w:pStyle w:val="ad"/>
        <w:numPr>
          <w:ilvl w:val="0"/>
          <w:numId w:val="4"/>
        </w:numPr>
        <w:spacing w:after="120" w:line="360" w:lineRule="auto"/>
        <w:contextualSpacing w:val="0"/>
        <w:rPr>
          <w:rtl/>
        </w:rPr>
      </w:pPr>
      <w:r>
        <w:rPr>
          <w:rFonts w:hint="cs"/>
          <w:rtl/>
        </w:rPr>
        <w:t>יתר הקביעות בסעיפים 55-58 לפסה</w:t>
      </w:r>
      <w:r>
        <w:rPr>
          <w:rtl/>
        </w:rPr>
        <w:t>"</w:t>
      </w:r>
      <w:r>
        <w:rPr>
          <w:rFonts w:hint="cs"/>
          <w:rtl/>
        </w:rPr>
        <w:t xml:space="preserve">ד שלא שונו כאמור לעיל, ייוותרו בעינן. </w:t>
      </w:r>
    </w:p>
    <w:p w:rsidR="008E5AC8" w:rsidRDefault="008E5AC8" w:rsidP="00A34FE8">
      <w:pPr>
        <w:pStyle w:val="ad"/>
        <w:numPr>
          <w:ilvl w:val="0"/>
          <w:numId w:val="1"/>
        </w:numPr>
        <w:spacing w:after="360" w:line="360" w:lineRule="auto"/>
        <w:ind w:left="424" w:hanging="425"/>
        <w:contextualSpacing w:val="0"/>
      </w:pPr>
      <w:r>
        <w:rPr>
          <w:rFonts w:hint="cs"/>
          <w:rtl/>
        </w:rPr>
        <w:t>המשיב יישא בהוצאות המערערת בסך 5,000 ₪</w:t>
      </w:r>
      <w:r w:rsidR="000979E5">
        <w:rPr>
          <w:rFonts w:hint="cs"/>
          <w:rtl/>
        </w:rPr>
        <w:t>.</w:t>
      </w:r>
    </w:p>
    <w:p w:rsidR="000979E5" w:rsidRDefault="000979E5" w:rsidP="000979E5">
      <w:pPr>
        <w:spacing w:after="120" w:line="360" w:lineRule="auto"/>
        <w:rPr>
          <w:rtl/>
        </w:rPr>
      </w:pPr>
      <w:r w:rsidRPr="000979E5">
        <w:rPr>
          <w:rFonts w:hint="cs"/>
          <w:b/>
          <w:bCs/>
          <w:u w:val="single"/>
          <w:rtl/>
        </w:rPr>
        <w:lastRenderedPageBreak/>
        <w:t>השופט חננאל שרעבי, אב"ד</w:t>
      </w:r>
      <w:r>
        <w:rPr>
          <w:rFonts w:hint="cs"/>
          <w:rtl/>
        </w:rPr>
        <w:t>:</w:t>
      </w:r>
    </w:p>
    <w:p w:rsidR="000979E5" w:rsidRDefault="000979E5" w:rsidP="00A34FE8">
      <w:pPr>
        <w:spacing w:after="360" w:line="360" w:lineRule="auto"/>
        <w:rPr>
          <w:rtl/>
        </w:rPr>
      </w:pPr>
      <w:r>
        <w:rPr>
          <w:rFonts w:hint="cs"/>
          <w:rtl/>
        </w:rPr>
        <w:t>אני מסכים.</w:t>
      </w:r>
    </w:p>
    <w:p w:rsidR="000979E5" w:rsidRDefault="000979E5" w:rsidP="000343E1">
      <w:pPr>
        <w:spacing w:after="120" w:line="360" w:lineRule="auto"/>
        <w:jc w:val="both"/>
        <w:rPr>
          <w:rtl/>
        </w:rPr>
      </w:pPr>
      <w:r w:rsidRPr="000979E5">
        <w:rPr>
          <w:rFonts w:hint="cs"/>
          <w:b/>
          <w:bCs/>
          <w:u w:val="single"/>
          <w:rtl/>
        </w:rPr>
        <w:t>השופטת אספרנצה אלון</w:t>
      </w:r>
      <w:r>
        <w:rPr>
          <w:rFonts w:hint="cs"/>
          <w:rtl/>
        </w:rPr>
        <w:t>:</w:t>
      </w:r>
    </w:p>
    <w:p w:rsidR="00694556" w:rsidRDefault="000979E5" w:rsidP="000343E1">
      <w:pPr>
        <w:spacing w:after="360" w:line="360" w:lineRule="auto"/>
        <w:jc w:val="both"/>
        <w:rPr>
          <w:rFonts w:ascii="Arial" w:hAnsi="Arial"/>
          <w:noProof w:val="0"/>
          <w:rtl/>
        </w:rPr>
      </w:pPr>
      <w:r>
        <w:rPr>
          <w:rFonts w:hint="cs"/>
          <w:rtl/>
        </w:rPr>
        <w:t>אני מסכימה.</w:t>
      </w:r>
    </w:p>
    <w:p w:rsidR="000979E5" w:rsidRPr="000979E5" w:rsidRDefault="000979E5" w:rsidP="000343E1">
      <w:pPr>
        <w:spacing w:after="120" w:line="360" w:lineRule="auto"/>
        <w:jc w:val="both"/>
        <w:rPr>
          <w:rFonts w:ascii="Arial" w:hAnsi="Arial"/>
          <w:b/>
          <w:bCs/>
          <w:noProof w:val="0"/>
          <w:rtl/>
        </w:rPr>
      </w:pPr>
      <w:r w:rsidRPr="000979E5">
        <w:rPr>
          <w:rFonts w:ascii="Arial" w:hAnsi="Arial" w:hint="cs"/>
          <w:b/>
          <w:bCs/>
          <w:noProof w:val="0"/>
          <w:rtl/>
        </w:rPr>
        <w:t>הוחלט פה אחד על קבלת הערעור כאמור בסעיף 19 לפסק דינו של השופט אריה נאמן.</w:t>
      </w:r>
    </w:p>
    <w:p w:rsidR="00184F40" w:rsidRDefault="000979E5" w:rsidP="000343E1">
      <w:pPr>
        <w:spacing w:after="120" w:line="360" w:lineRule="auto"/>
        <w:jc w:val="both"/>
        <w:rPr>
          <w:b/>
          <w:bCs/>
          <w:rtl/>
        </w:rPr>
      </w:pPr>
      <w:r w:rsidRPr="000979E5">
        <w:rPr>
          <w:rFonts w:hint="cs"/>
          <w:b/>
          <w:bCs/>
          <w:rtl/>
        </w:rPr>
        <w:t>המשיב יישא בהוצאות המערערת בסך 5,000 ₪</w:t>
      </w:r>
      <w:r>
        <w:rPr>
          <w:rFonts w:hint="cs"/>
          <w:b/>
          <w:bCs/>
          <w:rtl/>
        </w:rPr>
        <w:t xml:space="preserve">. </w:t>
      </w:r>
    </w:p>
    <w:p w:rsidR="00694556" w:rsidRDefault="00184F40" w:rsidP="00184F40">
      <w:pPr>
        <w:spacing w:after="120" w:line="360" w:lineRule="auto"/>
        <w:jc w:val="both"/>
        <w:rPr>
          <w:rFonts w:ascii="Arial" w:hAnsi="Arial"/>
          <w:noProof w:val="0"/>
          <w:rtl/>
        </w:rPr>
      </w:pPr>
      <w:r>
        <w:rPr>
          <w:rFonts w:hint="cs"/>
          <w:b/>
          <w:bCs/>
          <w:rtl/>
        </w:rPr>
        <w:t>הואיל והמערערת מיוצגת על ידי הלשכה לסיוע משפטי, המשיב יישלם את סכום ההוצאות ללשכה האמורה באמצעות באת כוחת המערערת</w:t>
      </w:r>
      <w:r w:rsidR="000979E5">
        <w:rPr>
          <w:rFonts w:hint="cs"/>
          <w:b/>
          <w:bCs/>
          <w:rtl/>
        </w:rPr>
        <w:t>,</w:t>
      </w:r>
      <w:r w:rsidR="000979E5" w:rsidRPr="000979E5">
        <w:rPr>
          <w:rFonts w:hint="cs"/>
          <w:b/>
          <w:bCs/>
          <w:rtl/>
        </w:rPr>
        <w:t xml:space="preserve"> תוך 30 ימים מיום מתן פסק דין זה, שאם לא כן יישא הסכום ריבית והצמדה מהיום ועד יום התשלום בפועל.</w:t>
      </w:r>
    </w:p>
    <w:p w:rsidR="00A34FE8" w:rsidRPr="000343E1" w:rsidRDefault="00A34FE8" w:rsidP="000343E1">
      <w:pPr>
        <w:spacing w:after="120" w:line="360" w:lineRule="auto"/>
        <w:jc w:val="both"/>
        <w:rPr>
          <w:rFonts w:ascii="Arial" w:hAnsi="Arial"/>
          <w:b/>
          <w:bCs/>
          <w:noProof w:val="0"/>
          <w:rtl/>
        </w:rPr>
      </w:pPr>
      <w:r w:rsidRPr="000343E1">
        <w:rPr>
          <w:rFonts w:ascii="Arial" w:hAnsi="Arial" w:hint="cs"/>
          <w:b/>
          <w:bCs/>
          <w:noProof w:val="0"/>
          <w:rtl/>
        </w:rPr>
        <w:t>עירבון שהפקידה המערערת בהליך, יושב לה באמצעות באת כוחה.</w:t>
      </w:r>
    </w:p>
    <w:p w:rsidR="000343E1" w:rsidRDefault="000343E1" w:rsidP="0044601B">
      <w:pPr>
        <w:spacing w:after="120" w:line="360" w:lineRule="auto"/>
        <w:jc w:val="both"/>
        <w:rPr>
          <w:rFonts w:ascii="Arial" w:hAnsi="Arial"/>
          <w:noProof w:val="0"/>
          <w:rtl/>
        </w:rPr>
      </w:pPr>
      <w:r w:rsidRPr="000343E1">
        <w:rPr>
          <w:rFonts w:ascii="Arial" w:hAnsi="Arial" w:hint="cs"/>
          <w:b/>
          <w:bCs/>
          <w:noProof w:val="0"/>
          <w:rtl/>
        </w:rPr>
        <w:t>פסק דין זה מותר לפרסום, תוך השמטת שמות הצדדים וכל פרט מזהה אחר.</w:t>
      </w:r>
    </w:p>
    <w:p w:rsidR="0044601B" w:rsidRDefault="0044601B" w:rsidP="0044601B">
      <w:pPr>
        <w:spacing w:after="120" w:line="360" w:lineRule="auto"/>
        <w:jc w:val="both"/>
        <w:rPr>
          <w:rFonts w:ascii="Arial" w:hAnsi="Arial"/>
          <w:noProof w:val="0"/>
          <w:rtl/>
        </w:rPr>
      </w:pPr>
    </w:p>
    <w:p w:rsidR="0044601B" w:rsidRPr="00C770E3" w:rsidRDefault="0044601B" w:rsidP="0044601B">
      <w:pPr>
        <w:spacing w:after="120" w:line="360" w:lineRule="auto"/>
        <w:jc w:val="both"/>
        <w:rPr>
          <w:rFonts w:ascii="Arial" w:hAnsi="Arial"/>
          <w:noProof w:val="0"/>
          <w:rtl/>
        </w:rPr>
      </w:pPr>
    </w:p>
    <w:p w:rsidR="000979E5" w:rsidRDefault="0043502B" w:rsidP="0044601B">
      <w:pPr>
        <w:spacing w:after="240"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ט"ו אלול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18 ספטמבר 2024</w:t>
          </w:r>
        </w:sdtContent>
      </w:sdt>
      <w:r w:rsidR="00005C8B">
        <w:rPr>
          <w:rFonts w:ascii="Arial" w:hAnsi="Arial"/>
          <w:noProof w:val="0"/>
          <w:rtl/>
        </w:rPr>
        <w:t>, בהעדר הצדדים.</w:t>
      </w:r>
    </w:p>
    <w:p w:rsidR="0044601B" w:rsidRDefault="0044601B" w:rsidP="0044601B">
      <w:pPr>
        <w:spacing w:after="240" w:line="360" w:lineRule="auto"/>
        <w:jc w:val="both"/>
        <w:rPr>
          <w:rFonts w:ascii="Arial" w:hAnsi="Arial"/>
          <w:noProof w:val="0"/>
          <w:rtl/>
        </w:rPr>
      </w:pPr>
    </w:p>
    <w:p w:rsidR="000979E5" w:rsidRPr="00EC12BC" w:rsidRDefault="000979E5"/>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96"/>
        <w:gridCol w:w="354"/>
        <w:gridCol w:w="2312"/>
        <w:gridCol w:w="341"/>
        <w:gridCol w:w="2503"/>
      </w:tblGrid>
      <w:tr w:rsidR="000979E5" w:rsidRPr="00EC12BC" w:rsidTr="000210FB">
        <w:tc>
          <w:tcPr>
            <w:tcW w:w="2796" w:type="dxa"/>
            <w:tcBorders>
              <w:top w:val="nil"/>
              <w:left w:val="nil"/>
              <w:bottom w:val="single" w:sz="4" w:space="0" w:color="auto"/>
              <w:right w:val="nil"/>
            </w:tcBorders>
            <w:vAlign w:val="bottom"/>
          </w:tcPr>
          <w:p w:rsidR="000979E5" w:rsidRPr="00EC12BC" w:rsidRDefault="000979E5" w:rsidP="00BB162B">
            <w:pPr>
              <w:jc w:val="center"/>
              <w:rPr>
                <w:rFonts w:ascii="Courier New" w:hAnsi="Courier New"/>
                <w:b/>
                <w:bCs/>
              </w:rPr>
            </w:pPr>
            <w:r>
              <w:drawing>
                <wp:inline distT="0" distB="0" distL="0" distR="0" wp14:anchorId="49805456" wp14:editId="5B3046D9">
                  <wp:extent cx="1361051" cy="844004"/>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366341" cy="847284"/>
                          </a:xfrm>
                          <a:prstGeom prst="rect">
                            <a:avLst/>
                          </a:prstGeom>
                        </pic:spPr>
                      </pic:pic>
                    </a:graphicData>
                  </a:graphic>
                </wp:inline>
              </w:drawing>
            </w:r>
          </w:p>
        </w:tc>
        <w:tc>
          <w:tcPr>
            <w:tcW w:w="354" w:type="dxa"/>
            <w:vAlign w:val="bottom"/>
          </w:tcPr>
          <w:p w:rsidR="000979E5" w:rsidRPr="00EC12BC" w:rsidRDefault="000979E5" w:rsidP="00BB162B">
            <w:pPr>
              <w:jc w:val="center"/>
              <w:rPr>
                <w:rFonts w:ascii="Courier New" w:hAnsi="Courier New"/>
                <w:b/>
                <w:bCs/>
              </w:rPr>
            </w:pPr>
          </w:p>
        </w:tc>
        <w:tc>
          <w:tcPr>
            <w:tcW w:w="2312" w:type="dxa"/>
            <w:tcBorders>
              <w:top w:val="nil"/>
              <w:left w:val="nil"/>
              <w:bottom w:val="single" w:sz="4" w:space="0" w:color="auto"/>
              <w:right w:val="nil"/>
            </w:tcBorders>
            <w:vAlign w:val="bottom"/>
          </w:tcPr>
          <w:p w:rsidR="000979E5" w:rsidRPr="00EC12BC" w:rsidRDefault="000979E5" w:rsidP="00BB162B">
            <w:pPr>
              <w:jc w:val="center"/>
              <w:rPr>
                <w:rFonts w:ascii="Courier New" w:hAnsi="Courier New"/>
                <w:b/>
                <w:bCs/>
              </w:rPr>
            </w:pPr>
            <w:r>
              <w:drawing>
                <wp:inline distT="0" distB="0" distL="0" distR="0" wp14:anchorId="319D00F2" wp14:editId="6F3A089F">
                  <wp:extent cx="527685" cy="817880"/>
                  <wp:effectExtent l="0" t="0" r="5715" b="1270"/>
                  <wp:docPr id="3" name="תמונה 3"/>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685" cy="817880"/>
                          </a:xfrm>
                          <a:prstGeom prst="rect">
                            <a:avLst/>
                          </a:prstGeom>
                          <a:noFill/>
                          <a:ln>
                            <a:noFill/>
                          </a:ln>
                        </pic:spPr>
                      </pic:pic>
                    </a:graphicData>
                  </a:graphic>
                </wp:inline>
              </w:drawing>
            </w:r>
          </w:p>
        </w:tc>
        <w:tc>
          <w:tcPr>
            <w:tcW w:w="341" w:type="dxa"/>
            <w:vAlign w:val="bottom"/>
          </w:tcPr>
          <w:p w:rsidR="000979E5" w:rsidRPr="00EC12BC" w:rsidRDefault="000979E5" w:rsidP="00BB162B">
            <w:pPr>
              <w:jc w:val="center"/>
              <w:rPr>
                <w:rFonts w:ascii="Courier New" w:hAnsi="Courier New"/>
                <w:b/>
                <w:bCs/>
              </w:rPr>
            </w:pPr>
          </w:p>
        </w:tc>
        <w:tc>
          <w:tcPr>
            <w:tcW w:w="2503" w:type="dxa"/>
            <w:tcBorders>
              <w:top w:val="nil"/>
              <w:left w:val="nil"/>
              <w:bottom w:val="single" w:sz="4" w:space="0" w:color="auto"/>
              <w:right w:val="nil"/>
            </w:tcBorders>
            <w:vAlign w:val="bottom"/>
          </w:tcPr>
          <w:p w:rsidR="000979E5" w:rsidRPr="00EC12BC" w:rsidRDefault="000979E5" w:rsidP="00BB162B">
            <w:pPr>
              <w:jc w:val="center"/>
              <w:rPr>
                <w:rFonts w:ascii="Courier New" w:hAnsi="Courier New"/>
                <w:b/>
                <w:bCs/>
              </w:rPr>
            </w:pPr>
            <w:r>
              <w:drawing>
                <wp:inline distT="0" distB="0" distL="0" distR="0" wp14:anchorId="6A3F69AA" wp14:editId="3EF4D19F">
                  <wp:extent cx="848360" cy="877570"/>
                  <wp:effectExtent l="0" t="0" r="8890" b="0"/>
                  <wp:docPr id="2" name="תמונה 2"/>
                  <wp:cNvGraphicFramePr/>
                  <a:graphic xmlns:a="http://schemas.openxmlformats.org/drawingml/2006/main">
                    <a:graphicData uri="http://schemas.openxmlformats.org/drawingml/2006/picture">
                      <pic:pic xmlns:pic="http://schemas.openxmlformats.org/drawingml/2006/picture">
                        <pic:nvPicPr>
                          <pic:cNvPr id="2" name="תמונה 2"/>
                          <pic:cNvPicPr/>
                        </pic:nvPicPr>
                        <pic:blipFill>
                          <a:blip r:embed="rId12">
                            <a:extLst>
                              <a:ext uri="{BEBA8EAE-BF5A-486C-A8C5-ECC9F3942E4B}">
                                <a14:imgProps xmlns:a14="http://schemas.microsoft.com/office/drawing/2010/main">
                                  <a14:imgLayer r:embed="rId13">
                                    <a14:imgEffect>
                                      <a14:brightnessContrast bright="20000" contrast="20000"/>
                                    </a14:imgEffect>
                                  </a14:imgLayer>
                                </a14:imgProps>
                              </a:ext>
                            </a:extLst>
                          </a:blip>
                          <a:stretch>
                            <a:fillRect/>
                          </a:stretch>
                        </pic:blipFill>
                        <pic:spPr>
                          <a:xfrm>
                            <a:off x="0" y="0"/>
                            <a:ext cx="848360" cy="877570"/>
                          </a:xfrm>
                          <a:prstGeom prst="rect">
                            <a:avLst/>
                          </a:prstGeom>
                        </pic:spPr>
                      </pic:pic>
                    </a:graphicData>
                  </a:graphic>
                </wp:inline>
              </w:drawing>
            </w:r>
          </w:p>
        </w:tc>
      </w:tr>
      <w:tr w:rsidR="000979E5" w:rsidRPr="00EC12BC" w:rsidTr="000210FB">
        <w:tc>
          <w:tcPr>
            <w:tcW w:w="2796" w:type="dxa"/>
            <w:tcBorders>
              <w:top w:val="single" w:sz="4" w:space="0" w:color="auto"/>
              <w:left w:val="nil"/>
              <w:bottom w:val="nil"/>
              <w:right w:val="nil"/>
            </w:tcBorders>
          </w:tcPr>
          <w:p w:rsidR="000979E5" w:rsidRDefault="000979E5" w:rsidP="00BB162B">
            <w:pPr>
              <w:jc w:val="center"/>
              <w:rPr>
                <w:b/>
                <w:bCs/>
                <w:rtl/>
              </w:rPr>
            </w:pPr>
            <w:r>
              <w:rPr>
                <w:rFonts w:hint="cs"/>
                <w:b/>
                <w:bCs/>
                <w:rtl/>
              </w:rPr>
              <w:t>ח. שרעבי, שופט</w:t>
            </w:r>
          </w:p>
          <w:p w:rsidR="000979E5" w:rsidRPr="00EC12BC" w:rsidRDefault="000979E5" w:rsidP="00BB162B">
            <w:pPr>
              <w:jc w:val="center"/>
              <w:rPr>
                <w:b/>
                <w:bCs/>
              </w:rPr>
            </w:pPr>
            <w:r>
              <w:rPr>
                <w:rFonts w:hint="cs"/>
                <w:b/>
                <w:bCs/>
                <w:rtl/>
              </w:rPr>
              <w:t>אב"ד</w:t>
            </w:r>
          </w:p>
        </w:tc>
        <w:tc>
          <w:tcPr>
            <w:tcW w:w="354" w:type="dxa"/>
          </w:tcPr>
          <w:p w:rsidR="000979E5" w:rsidRPr="00EC12BC" w:rsidRDefault="000979E5" w:rsidP="00BB162B">
            <w:pPr>
              <w:spacing w:line="360" w:lineRule="auto"/>
              <w:rPr>
                <w:b/>
                <w:bCs/>
                <w:color w:val="FF0000"/>
              </w:rPr>
            </w:pPr>
          </w:p>
        </w:tc>
        <w:tc>
          <w:tcPr>
            <w:tcW w:w="2312" w:type="dxa"/>
            <w:tcBorders>
              <w:top w:val="single" w:sz="4" w:space="0" w:color="auto"/>
              <w:left w:val="nil"/>
              <w:bottom w:val="nil"/>
              <w:right w:val="nil"/>
            </w:tcBorders>
          </w:tcPr>
          <w:p w:rsidR="000979E5" w:rsidRPr="00EC12BC" w:rsidRDefault="000979E5" w:rsidP="00BB162B">
            <w:pPr>
              <w:spacing w:line="360" w:lineRule="auto"/>
              <w:jc w:val="center"/>
              <w:rPr>
                <w:b/>
                <w:bCs/>
              </w:rPr>
            </w:pPr>
            <w:r>
              <w:rPr>
                <w:rFonts w:hint="cs"/>
                <w:b/>
                <w:bCs/>
                <w:rtl/>
              </w:rPr>
              <w:t>א. אלון, שופטת</w:t>
            </w:r>
          </w:p>
        </w:tc>
        <w:tc>
          <w:tcPr>
            <w:tcW w:w="341" w:type="dxa"/>
          </w:tcPr>
          <w:p w:rsidR="000979E5" w:rsidRPr="00EC12BC" w:rsidRDefault="000979E5" w:rsidP="00BB162B">
            <w:pPr>
              <w:spacing w:line="360" w:lineRule="auto"/>
              <w:rPr>
                <w:b/>
                <w:bCs/>
                <w:color w:val="FF0000"/>
              </w:rPr>
            </w:pPr>
          </w:p>
        </w:tc>
        <w:tc>
          <w:tcPr>
            <w:tcW w:w="2503" w:type="dxa"/>
            <w:tcBorders>
              <w:top w:val="single" w:sz="4" w:space="0" w:color="auto"/>
              <w:left w:val="nil"/>
              <w:bottom w:val="nil"/>
              <w:right w:val="nil"/>
            </w:tcBorders>
          </w:tcPr>
          <w:p w:rsidR="000979E5" w:rsidRPr="00EC12BC" w:rsidRDefault="000979E5" w:rsidP="00BB162B">
            <w:pPr>
              <w:spacing w:line="360" w:lineRule="auto"/>
              <w:jc w:val="center"/>
              <w:rPr>
                <w:b/>
                <w:bCs/>
                <w:rtl/>
              </w:rPr>
            </w:pPr>
            <w:r>
              <w:rPr>
                <w:rFonts w:hint="cs"/>
                <w:b/>
                <w:bCs/>
                <w:rtl/>
              </w:rPr>
              <w:t>א. נאמן, שופט</w:t>
            </w:r>
          </w:p>
        </w:tc>
      </w:tr>
    </w:tbl>
    <w:p w:rsidR="00694556" w:rsidRDefault="00694556" w:rsidP="0044601B">
      <w:pPr>
        <w:tabs>
          <w:tab w:val="left" w:pos="2553"/>
        </w:tabs>
        <w:rPr>
          <w:rFonts w:ascii="Arial" w:hAnsi="Arial"/>
          <w:noProof w:val="0"/>
          <w:rtl/>
        </w:rPr>
      </w:pPr>
    </w:p>
    <w:sectPr w:rsidR="00694556" w:rsidSect="0044601B">
      <w:headerReference w:type="default" r:id="rId14"/>
      <w:footerReference w:type="default" r:id="rId15"/>
      <w:pgSz w:w="11907" w:h="16840" w:code="9"/>
      <w:pgMar w:top="1440" w:right="850" w:bottom="1440" w:left="1276"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0855" w:rsidRDefault="00F50855">
      <w:r>
        <w:separator/>
      </w:r>
    </w:p>
  </w:endnote>
  <w:endnote w:type="continuationSeparator" w:id="0">
    <w:p w:rsidR="00F50855" w:rsidRDefault="00F50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00"/>
    <w:family w:val="auto"/>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3508CB">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3508CB">
      <w:rPr>
        <w:rStyle w:val="ab"/>
        <w:rFonts w:ascii="David" w:hAnsi="David"/>
        <w:rtl/>
      </w:rPr>
      <w:t>7</w:t>
    </w:r>
    <w:r w:rsidRPr="00424313">
      <w:rPr>
        <w:rStyle w:val="ab"/>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0855" w:rsidRDefault="00F50855">
      <w:r>
        <w:separator/>
      </w:r>
    </w:p>
  </w:footnote>
  <w:footnote w:type="continuationSeparator" w:id="0">
    <w:p w:rsidR="00F50855" w:rsidRDefault="00F50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6"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8E5AC8" w:rsidRDefault="00F50855" w:rsidP="008E5AC8">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עמ"ש</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25790-03-24</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2B2EEF">
                <w:rPr>
                  <w:rFonts w:hint="cs"/>
                  <w:b/>
                  <w:bCs/>
                  <w:noProof w:val="0"/>
                  <w:sz w:val="26"/>
                  <w:szCs w:val="26"/>
                  <w:rtl/>
                </w:rPr>
                <w:t>ט'</w:t>
              </w:r>
              <w:r w:rsidR="002B2EEF">
                <w:rPr>
                  <w:b/>
                  <w:bCs/>
                  <w:noProof w:val="0"/>
                  <w:sz w:val="26"/>
                  <w:szCs w:val="26"/>
                  <w:rtl/>
                </w:rPr>
                <w:t xml:space="preserve"> נ' ט</w:t>
              </w:r>
              <w:r w:rsidR="002B2EEF">
                <w:rPr>
                  <w:rFonts w:hint="cs"/>
                  <w:b/>
                  <w:bCs/>
                  <w:noProof w:val="0"/>
                  <w:sz w:val="26"/>
                  <w:szCs w:val="26"/>
                  <w:rtl/>
                </w:rPr>
                <w:t>'</w:t>
              </w:r>
            </w:sdtContent>
          </w:sdt>
          <w:r w:rsidR="007C2453">
            <w:rPr>
              <w:b/>
              <w:bCs/>
              <w:noProof w:val="0"/>
              <w:sz w:val="26"/>
              <w:szCs w:val="26"/>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D33D78"/>
    <w:multiLevelType w:val="hybridMultilevel"/>
    <w:tmpl w:val="00CA8CC2"/>
    <w:lvl w:ilvl="0" w:tplc="83AE43E0">
      <w:start w:val="1"/>
      <w:numFmt w:val="hebrew1"/>
      <w:lvlText w:val="(%1)"/>
      <w:lvlJc w:val="left"/>
      <w:pPr>
        <w:ind w:left="720" w:hanging="360"/>
      </w:pPr>
      <w:rPr>
        <w:rFonts w:ascii="Aharoni" w:hAnsi="Aharoni" w:cs="Aharon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B15780"/>
    <w:multiLevelType w:val="hybridMultilevel"/>
    <w:tmpl w:val="A33EFB46"/>
    <w:lvl w:ilvl="0" w:tplc="529EC646">
      <w:start w:val="1"/>
      <w:numFmt w:val="decimal"/>
      <w:lvlText w:val="%1."/>
      <w:lvlJc w:val="left"/>
      <w:pPr>
        <w:ind w:left="720" w:hanging="360"/>
      </w:pPr>
      <w:rPr>
        <w:rFonts w:ascii="David" w:hAnsi="David" w:cs="David"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EC0442"/>
    <w:multiLevelType w:val="hybridMultilevel"/>
    <w:tmpl w:val="E50A4F3C"/>
    <w:lvl w:ilvl="0" w:tplc="40AA1A72">
      <w:start w:val="1"/>
      <w:numFmt w:val="hebrew1"/>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65D6F46"/>
    <w:multiLevelType w:val="hybridMultilevel"/>
    <w:tmpl w:val="A1943A92"/>
    <w:lvl w:ilvl="0" w:tplc="D3A86712">
      <w:start w:val="1"/>
      <w:numFmt w:val="hebrew1"/>
      <w:lvlText w:val="(%1)"/>
      <w:lvlJc w:val="left"/>
      <w:pPr>
        <w:ind w:left="728" w:hanging="360"/>
      </w:pPr>
      <w:rPr>
        <w:rFonts w:hint="default"/>
        <w:color w:val="000000" w:themeColor="text1"/>
      </w:rPr>
    </w:lvl>
    <w:lvl w:ilvl="1" w:tplc="04090019" w:tentative="1">
      <w:start w:val="1"/>
      <w:numFmt w:val="lowerLetter"/>
      <w:lvlText w:val="%2."/>
      <w:lvlJc w:val="left"/>
      <w:pPr>
        <w:ind w:left="1448" w:hanging="360"/>
      </w:pPr>
    </w:lvl>
    <w:lvl w:ilvl="2" w:tplc="0409001B" w:tentative="1">
      <w:start w:val="1"/>
      <w:numFmt w:val="lowerRoman"/>
      <w:lvlText w:val="%3."/>
      <w:lvlJc w:val="right"/>
      <w:pPr>
        <w:ind w:left="2168" w:hanging="180"/>
      </w:pPr>
    </w:lvl>
    <w:lvl w:ilvl="3" w:tplc="0409000F" w:tentative="1">
      <w:start w:val="1"/>
      <w:numFmt w:val="decimal"/>
      <w:lvlText w:val="%4."/>
      <w:lvlJc w:val="left"/>
      <w:pPr>
        <w:ind w:left="2888" w:hanging="360"/>
      </w:pPr>
    </w:lvl>
    <w:lvl w:ilvl="4" w:tplc="04090019" w:tentative="1">
      <w:start w:val="1"/>
      <w:numFmt w:val="lowerLetter"/>
      <w:lvlText w:val="%5."/>
      <w:lvlJc w:val="left"/>
      <w:pPr>
        <w:ind w:left="3608" w:hanging="360"/>
      </w:pPr>
    </w:lvl>
    <w:lvl w:ilvl="5" w:tplc="0409001B" w:tentative="1">
      <w:start w:val="1"/>
      <w:numFmt w:val="lowerRoman"/>
      <w:lvlText w:val="%6."/>
      <w:lvlJc w:val="right"/>
      <w:pPr>
        <w:ind w:left="4328" w:hanging="180"/>
      </w:pPr>
    </w:lvl>
    <w:lvl w:ilvl="6" w:tplc="0409000F" w:tentative="1">
      <w:start w:val="1"/>
      <w:numFmt w:val="decimal"/>
      <w:lvlText w:val="%7."/>
      <w:lvlJc w:val="left"/>
      <w:pPr>
        <w:ind w:left="5048" w:hanging="360"/>
      </w:pPr>
    </w:lvl>
    <w:lvl w:ilvl="7" w:tplc="04090019" w:tentative="1">
      <w:start w:val="1"/>
      <w:numFmt w:val="lowerLetter"/>
      <w:lvlText w:val="%8."/>
      <w:lvlJc w:val="left"/>
      <w:pPr>
        <w:ind w:left="5768" w:hanging="360"/>
      </w:pPr>
    </w:lvl>
    <w:lvl w:ilvl="8" w:tplc="0409001B" w:tentative="1">
      <w:start w:val="1"/>
      <w:numFmt w:val="lowerRoman"/>
      <w:lvlText w:val="%9."/>
      <w:lvlJc w:val="right"/>
      <w:pPr>
        <w:ind w:left="6488"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6420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64200&amp;lt;/CaseID&amp;gt;_x000d__x000a_        &amp;lt;CaseMonth&amp;gt;3&amp;lt;/CaseMonth&amp;gt;_x000d__x000a_        &amp;lt;CaseYear&amp;gt;2024&amp;lt;/CaseYear&amp;gt;_x000d__x000a_        &amp;lt;CaseNumber&amp;gt;25790&amp;lt;/CaseNumber&amp;gt;_x000d__x000a_        &amp;lt;NumeratorGroupID&amp;gt;1&amp;lt;/NumeratorGroupID&amp;gt;_x000d__x000a_        &amp;lt;CaseName&amp;gt;טובול נ&amp;#39; טובול&amp;lt;/CaseName&amp;gt;_x000d__x000a_        &amp;lt;CourtID&amp;gt;13&amp;lt;/CourtID&amp;gt;_x000d__x000a_        &amp;lt;CaseTypeID&amp;gt;63&amp;lt;/CaseTypeID&amp;gt;_x000d__x000a_        &amp;lt;CaseInterestID&amp;gt;10643&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5790-03-24&amp;lt;/CaseDisplayIdentifier&amp;gt;_x000d__x000a_        &amp;lt;CaseTypeDesc&amp;gt;ע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4-03-12T09:51:00+02:00&amp;lt;/CaseOpenDate&amp;gt;_x000d__x000a_        &amp;lt;PleaTypeID&amp;gt;6&amp;lt;/PleaTypeID&amp;gt;_x000d__x000a_        &amp;lt;CourtLevelID&amp;gt;2&amp;lt;/CourtLevelID&amp;gt;_x000d__x000a_        &amp;lt;CourtLevelCaseTypeInterestID&amp;gt;2143&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tru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עבר לדיון ב-16.9&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64200&amp;lt;/CaseID&amp;gt;_x000d__x000a_        &amp;lt;CaseMonth&amp;gt;3&amp;lt;/CaseMonth&amp;gt;_x000d__x000a_        &amp;lt;CaseYear&amp;gt;2024&amp;lt;/CaseYear&amp;gt;_x000d__x000a_        &amp;lt;CaseNumber&amp;gt;25790&amp;lt;/CaseNumber&amp;gt;_x000d__x000a_        &amp;lt;NumeratorGroupID&amp;gt;1&amp;lt;/NumeratorGroupID&amp;gt;_x000d__x000a_        &amp;lt;CaseName&amp;gt;טובול נ&amp;#39; טובול&amp;lt;/CaseName&amp;gt;_x000d__x000a_        &amp;lt;CourtID&amp;gt;13&amp;lt;/CourtID&amp;gt;_x000d__x000a_        &amp;lt;CaseTypeID&amp;gt;63&amp;lt;/CaseTypeID&amp;gt;_x000d__x000a_        &amp;lt;CaseInterestID&amp;gt;10643&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5790-03-24&amp;lt;/CaseDisplayIdentifier&amp;gt;_x000d__x000a_        &amp;lt;CaseTypeDesc&amp;gt;עמ&amp;quot;ש&amp;lt;/CaseTypeDesc&amp;gt;_x000d__x000a_        &amp;lt;CourtDesc&amp;gt;המחוזי חיפה&amp;lt;/CourtDesc&amp;gt;_x000d__x000a_        &amp;lt;CaseStageDesc&amp;gt;תיק אלקטרוני&amp;lt;/CaseStageDesc&amp;gt;_x000d__x000a_        &amp;lt;CaseNextDeterminingTask&amp;gt;34&amp;lt;/CaseNextDeterminingTask&amp;gt;_x000d__x000a_        &amp;lt;CaseOpenDate&amp;gt;2024-03-12T09:51:00+02:00&amp;lt;/CaseOpenDate&amp;gt;_x000d__x000a_        &amp;lt;PleaTypeID&amp;gt;6&amp;lt;/PleaTypeID&amp;gt;_x000d__x000a_        &amp;lt;CourtLevelID&amp;gt;2&amp;lt;/CourtLevelID&amp;gt;_x000d__x000a_        &amp;lt;CourtLevelCaseTypeInterestID&amp;gt;2143&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tru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עבר לדיון ב-16.9&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995362&amp;lt;/DecisionID&amp;gt;_x000d__x000a_        &amp;lt;DecisionName&amp;gt;פסק דין  שניתנה ע&amp;quot;י  חננאל שרעבי&amp;lt;/DecisionName&amp;gt;_x000d__x000a_        &amp;lt;DecisionStatusID&amp;gt;1&amp;lt;/DecisionStatusID&amp;gt;_x000d__x000a_        &amp;lt;DecisionStatusChangeDate&amp;gt;2024-09-18T13:24:10.797+03:00&amp;lt;/DecisionStatusChangeDate&amp;gt;_x000d__x000a_        &amp;lt;DecisionSignatureDate&amp;gt;2024-09-18T13:06:03.89+03:00&amp;lt;/DecisionSignatureDate&amp;gt;_x000d__x000a_        &amp;lt;DecisionSignatureUserID&amp;gt;056479827@GOV.IL&amp;lt;/DecisionSignatureUserID&amp;gt;_x000d__x000a_        &amp;lt;DecisionCreateDate&amp;gt;2024-09-18T13:11:17.77+03:00&amp;lt;/DecisionCreateDate&amp;gt;_x000d__x000a_        &amp;lt;DecisionChangeDate&amp;gt;2024-09-18T13:24:11.1+03: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557780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פסק דין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9&amp;lt;/DecisionNumberInCase&amp;gt;_x000d__x000a_      &amp;lt;/dt_Decision&amp;gt;_x000d__x000a_      &amp;lt;dt_DecisionCase diffgr:id=&amp;quot;dt_DecisionCase1&amp;quot; msdata:rowOrder=&amp;quot;0&amp;quot;&amp;gt;_x000d__x000a_        &amp;lt;DecisionID&amp;gt;154995362&amp;lt;/DecisionID&amp;gt;_x000d__x000a_        &amp;lt;CaseID&amp;gt;81064200&amp;lt;/CaseID&amp;gt;_x000d__x000a_        &amp;lt;IsOriginal&amp;gt;true&amp;lt;/IsOriginal&amp;gt;_x000d__x000a_        &amp;lt;IsDeleted&amp;gt;false&amp;lt;/IsDeleted&amp;gt;_x000d__x000a_        &amp;lt;CaseName&amp;gt;טובול נ&amp;#39; טובול&amp;lt;/CaseName&amp;gt;_x000d__x000a_        &amp;lt;CaseDisplayIdentifier&amp;gt;25790-03-24 עמ&amp;quot;ש&amp;lt;/CaseDisplayIdentifier&amp;gt;_x000d__x000a_      &amp;lt;/dt_DecisionCase&amp;gt;_x000d__x000a_      &amp;lt;dt_DecisionJudgePanel diffgr:id=&amp;quot;dt_DecisionJudgePanel1&amp;quot; msdata:rowOrder=&amp;quot;0&amp;quot;&amp;gt;_x000d__x000a_        &amp;lt;DecisionID&amp;gt;154995362&amp;lt;/DecisionID&amp;gt;_x000d__x000a_        &amp;lt;JudgeID&amp;gt;056479827@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4995362&amp;lt;/DecisionID&amp;gt;_x000d__x000a_        &amp;lt;JudgeID&amp;gt;057955775@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4995362&amp;lt;/DecisionID&amp;gt;_x000d__x000a_        &amp;lt;JudgeID&amp;gt;058677980@GOV.IL&amp;lt;/JudgeID&amp;gt;_x000d__x000a_        &amp;lt;OrdinalNumber&amp;gt;3&amp;lt;/OrdinalNumber&amp;gt;_x000d__x000a_      &amp;lt;/dt_DecisionJudgePanel&amp;gt;_x000d__x000a_    &amp;lt;/DecisionDS&amp;gt;_x000d__x000a_  &amp;lt;/diffgr:diffgram&amp;gt;_x000d__x000a_&amp;lt;/DecisionDS&amp;gt;"/>
    <w:docVar w:name="DecisionID" w:val="154995362"/>
    <w:docVar w:name="docID" w:val="455577808"/>
    <w:docVar w:name="judgeUPN" w:val="056479827@GOV.IL"/>
    <w:docVar w:name="NGCS.TemplateCaseInterestID" w:val="10643"/>
    <w:docVar w:name="NGCS.TemplateCaseTypeID" w:val="63"/>
    <w:docVar w:name="NGCS.TemplateCourtID" w:val="13"/>
    <w:docVar w:name="NGCS.TemplateProceedingID" w:val="14"/>
    <w:docVar w:name="noteDocID" w:val="455577808"/>
    <w:docVar w:name="WordClientAssemblyName" w:val="NGCS.Decision.ClientWordBL"/>
    <w:docVar w:name="WordClientClassName" w:val="NGCS.Decision.ClientWordBL.JudgePanelSignDecisionClient"/>
  </w:docVars>
  <w:rsids>
    <w:rsidRoot w:val="00694556"/>
    <w:rsid w:val="00000062"/>
    <w:rsid w:val="0000226B"/>
    <w:rsid w:val="00005C8B"/>
    <w:rsid w:val="000343E1"/>
    <w:rsid w:val="000529D2"/>
    <w:rsid w:val="000564AB"/>
    <w:rsid w:val="00064FBD"/>
    <w:rsid w:val="00082AB2"/>
    <w:rsid w:val="000906FE"/>
    <w:rsid w:val="00096AF7"/>
    <w:rsid w:val="000979E5"/>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84F40"/>
    <w:rsid w:val="00191C82"/>
    <w:rsid w:val="001C4003"/>
    <w:rsid w:val="001D4DBF"/>
    <w:rsid w:val="001E75CA"/>
    <w:rsid w:val="002265FF"/>
    <w:rsid w:val="00271B56"/>
    <w:rsid w:val="00272E32"/>
    <w:rsid w:val="002B2EEF"/>
    <w:rsid w:val="002C344E"/>
    <w:rsid w:val="002E75E9"/>
    <w:rsid w:val="002F0B1E"/>
    <w:rsid w:val="00307A6A"/>
    <w:rsid w:val="00307C40"/>
    <w:rsid w:val="00320433"/>
    <w:rsid w:val="003230C7"/>
    <w:rsid w:val="00327E50"/>
    <w:rsid w:val="0033597A"/>
    <w:rsid w:val="00343D89"/>
    <w:rsid w:val="003508CB"/>
    <w:rsid w:val="00362612"/>
    <w:rsid w:val="0036743F"/>
    <w:rsid w:val="003715DD"/>
    <w:rsid w:val="003823E0"/>
    <w:rsid w:val="003A4521"/>
    <w:rsid w:val="003D1C8C"/>
    <w:rsid w:val="003E38C7"/>
    <w:rsid w:val="0040096C"/>
    <w:rsid w:val="00414F1F"/>
    <w:rsid w:val="00422BEE"/>
    <w:rsid w:val="00424313"/>
    <w:rsid w:val="0043125D"/>
    <w:rsid w:val="0043502B"/>
    <w:rsid w:val="00443BFF"/>
    <w:rsid w:val="004441BE"/>
    <w:rsid w:val="004443AC"/>
    <w:rsid w:val="00444B02"/>
    <w:rsid w:val="0044601B"/>
    <w:rsid w:val="00451E28"/>
    <w:rsid w:val="00462C62"/>
    <w:rsid w:val="00465D36"/>
    <w:rsid w:val="004C17EE"/>
    <w:rsid w:val="004C4BDF"/>
    <w:rsid w:val="004D1187"/>
    <w:rsid w:val="004D3AA0"/>
    <w:rsid w:val="004E1987"/>
    <w:rsid w:val="004E2E15"/>
    <w:rsid w:val="004E6E3C"/>
    <w:rsid w:val="005031B8"/>
    <w:rsid w:val="00520898"/>
    <w:rsid w:val="00523621"/>
    <w:rsid w:val="00524986"/>
    <w:rsid w:val="005268F6"/>
    <w:rsid w:val="00534284"/>
    <w:rsid w:val="0054140F"/>
    <w:rsid w:val="00547DB7"/>
    <w:rsid w:val="00551D21"/>
    <w:rsid w:val="00557717"/>
    <w:rsid w:val="00576A86"/>
    <w:rsid w:val="00591B09"/>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8E5AC8"/>
    <w:rsid w:val="00903896"/>
    <w:rsid w:val="00906F3D"/>
    <w:rsid w:val="0094424E"/>
    <w:rsid w:val="00955642"/>
    <w:rsid w:val="009622DF"/>
    <w:rsid w:val="0096493F"/>
    <w:rsid w:val="00967DFF"/>
    <w:rsid w:val="00994341"/>
    <w:rsid w:val="009D1A48"/>
    <w:rsid w:val="009D4F9F"/>
    <w:rsid w:val="009E1CE7"/>
    <w:rsid w:val="009E461A"/>
    <w:rsid w:val="009E4EA5"/>
    <w:rsid w:val="009F164B"/>
    <w:rsid w:val="009F323C"/>
    <w:rsid w:val="00A3392B"/>
    <w:rsid w:val="00A34FE8"/>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BF2865"/>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34F22"/>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50855"/>
    <w:rsid w:val="00F67371"/>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8E5AC8"/>
    <w:pPr>
      <w:ind w:left="720"/>
      <w:contextualSpacing/>
      <w:jc w:val="both"/>
    </w:pPr>
    <w:rPr>
      <w:rFonts w:ascii="David" w:eastAsiaTheme="minorHAnsi" w:hAnsi="David"/>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07/relationships/hdphoto" Target="media/hdphoto1.wdp"/><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FEEF0C217D24AEB97258FA736580075"/>
        <w:category>
          <w:name w:val="כללי"/>
          <w:gallery w:val="placeholder"/>
        </w:category>
        <w:types>
          <w:type w:val="bbPlcHdr"/>
        </w:types>
        <w:behaviors>
          <w:behavior w:val="content"/>
        </w:behaviors>
        <w:guid w:val="{08C46DA5-E787-4C2F-B059-D307B373DB86}"/>
      </w:docPartPr>
      <w:docPartBody>
        <w:p w:rsidR="009133C7" w:rsidRDefault="00AA7CE3">
          <w:r w:rsidRPr="00D47A1C">
            <w:rPr>
              <w:rStyle w:val="a3"/>
              <w:rtl/>
            </w:rPr>
            <w:t>לחץ כאן להזנת טקסט</w:t>
          </w:r>
          <w:r w:rsidRPr="00D47A1C">
            <w:rPr>
              <w:rStyle w:val="a3"/>
            </w:rPr>
            <w:t>.</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D26B8F" w:rsidRDefault="00F333F8">
          <w:pPr>
            <w:pStyle w:val="ED669423C9154F9BADAD8CB83BDC7737"/>
          </w:pPr>
          <w:r>
            <w:rPr>
              <w:b/>
              <w:bCs/>
              <w:rtl/>
            </w:rPr>
            <w:t>סוג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00"/>
    <w:family w:val="auto"/>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0B5735"/>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11DBB"/>
    <w:rsid w:val="00B50DB2"/>
    <w:rsid w:val="00B91FA3"/>
    <w:rsid w:val="00BE6557"/>
    <w:rsid w:val="00C96C06"/>
    <w:rsid w:val="00CE1DCB"/>
    <w:rsid w:val="00D24521"/>
    <w:rsid w:val="00D26B8F"/>
    <w:rsid w:val="00E31BF6"/>
    <w:rsid w:val="00E81DB1"/>
    <w:rsid w:val="00F00DF8"/>
    <w:rsid w:val="00F04DC1"/>
    <w:rsid w:val="00F333F8"/>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FEEF0C217D24AEB97258FA736580075">
    <w:name w:val="1FEEF0C217D24AEB97258FA736580075"/>
    <w:pPr>
      <w:bidi/>
    </w:pPr>
  </w:style>
  <w:style w:type="paragraph" w:customStyle="1" w:styleId="2C2F544D5A974CF0802648CB40365F9E">
    <w:name w:val="2C2F544D5A974CF0802648CB40365F9E"/>
    <w:pPr>
      <w:bidi/>
    </w:pPr>
  </w:style>
  <w:style w:type="paragraph" w:customStyle="1" w:styleId="ED669423C9154F9BADAD8CB83BDC7737">
    <w:name w:val="ED669423C9154F9BADAD8CB83BDC7737"/>
    <w:pPr>
      <w:bidi/>
    </w:pPr>
  </w:style>
  <w:style w:type="paragraph" w:customStyle="1" w:styleId="131F9959063245F390B1EC5955B591AB">
    <w:name w:val="131F9959063245F390B1EC5955B591AB"/>
    <w:pPr>
      <w:bidi/>
    </w:pPr>
  </w:style>
  <w:style w:type="paragraph" w:customStyle="1" w:styleId="4BC84A8AB1AB4C30873E700EAC300D76">
    <w:name w:val="4BC84A8AB1AB4C30873E700EAC300D76"/>
    <w:pPr>
      <w:bidi/>
    </w:pPr>
  </w:style>
  <w:style w:type="paragraph" w:customStyle="1" w:styleId="A9E30B10D8B34B1C8600BF9BD63BCD83">
    <w:name w:val="A9E30B10D8B34B1C8600BF9BD63BCD83"/>
    <w:pPr>
      <w:bidi/>
    </w:pPr>
  </w:style>
  <w:style w:type="paragraph" w:customStyle="1" w:styleId="198D62BE9E3E4F809E7B728544177B09">
    <w:name w:val="198D62BE9E3E4F809E7B728544177B09"/>
    <w:pPr>
      <w:bidi/>
    </w:pPr>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81064200</CaseID>
    <CaseJudicialPersonPresentationDS>
      <CaseJudicalPersonActive>
        <CaseID>81064200</CaseID>
        <JudicialPersonID>056479827@GOV.IL</JudicialPersonID>
        <JudicialPersonTypeID>1</JudicialPersonTypeID>
        <JudicialTypeID>3</JudicialTypeID>
        <IsChairman>true</IsChairman>
        <TreatmentStartDate>2024-03-25T08:55:47.63+02:00</TreatmentStartDate>
        <TreatmentFinishDate>9999-12-31T23:59:59.997+02:00</TreatmentFinishDate>
        <IdentificationCardNumber>056479827</IdentificationCardNumber>
        <DisplayName>חננאל שרעבי</DisplayName>
        <JudicialTypeName>הרכב שופטים</JudicialTypeName>
        <CaseJudicialGroupNumber>573958</CaseJudicialGroupNumber>
        <FirstName>חננאל</FirstName>
        <LastName>שרעבי</LastName>
        <JudicialPersonTitle>שופט</JudicialPersonTitle>
      </CaseJudicalPersonActive>
      <CaseJudicalPersonActive>
        <CaseID>81064200</CaseID>
        <JudicialPersonID>057955775@GOV.IL</JudicialPersonID>
        <JudicialPersonTypeID>1</JudicialPersonTypeID>
        <JudicialTypeID>3</JudicialTypeID>
        <IsChairman>false</IsChairman>
        <TreatmentStartDate>2024-03-25T08:55:47.63+02:00</TreatmentStartDate>
        <TreatmentFinishDate>9999-12-31T23:59:59.997+02:00</TreatmentFinishDate>
        <IdentificationCardNumber>057955775</IdentificationCardNumber>
        <DisplayName>אספרנצה אלון</DisplayName>
        <JudicialTypeName>הרכב שופטים</JudicialTypeName>
        <CaseJudicialGroupNumber>573958</CaseJudicialGroupNumber>
        <FirstName>אספרנצה</FirstName>
        <LastName>אלון</LastName>
        <JudicialPersonTitle>שופט</JudicialPersonTitle>
      </CaseJudicalPersonActive>
      <CaseJudicalPersonActive>
        <CaseID>81064200</CaseID>
        <JudicialPersonID>058677980@GOV.IL</JudicialPersonID>
        <JudicialPersonTypeID>1</JudicialPersonTypeID>
        <JudicialTypeID>3</JudicialTypeID>
        <IsChairman>false</IsChairman>
        <TreatmentStartDate>2024-03-25T08:55:47.63+02:00</TreatmentStartDate>
        <TreatmentFinishDate>9999-12-31T23:59:59.997+02:00</TreatmentFinishDate>
        <IdentificationCardNumber>058677980</IdentificationCardNumber>
        <DisplayName>אריה נאמן</DisplayName>
        <JudicialTypeName>הרכב שופטים</JudicialTypeName>
        <CaseJudicialGroupNumber>573958</CaseJudicialGroupNumber>
        <FirstName>אריה</FirstName>
        <LastName>נאמן</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ספיר דונה טובול</FullName>
        <FirstName>ספיר דונה</FirstName>
        <LastName>טובול</LastName>
        <PartyPropertyName/>
        <AuthenticationTypeAndNumber>ת"ז 038097549</AuthenticationTypeAndNumber>
        <RepresentatedOrRepresentativesNames>ליאורה אוחנה</RepresentatedOrRepresentativesNames>
        <RepresentatedOrRepresentativesCount>1</RepresentatedOrRepresentativesCount>
        <InvitedBy/>
        <CaseID>81064200</CaseID>
        <CaseJudicialPersonPresentationDS>
          <CaseJudicalPersonActive>
            <CaseID>81064200</CaseID>
            <JudicialPersonID>056479827@GOV.IL</JudicialPersonID>
            <JudicialPersonTypeID>1</JudicialPersonTypeID>
            <JudicialTypeID>3</JudicialTypeID>
            <IsChairman>true</IsChairman>
            <TreatmentStartDate>2024-03-25T08:55:47.63+02:00</TreatmentStartDate>
            <TreatmentFinishDate>9999-12-31T23:59:59.997+02:00</TreatmentFinishDate>
            <IdentificationCardNumber>056479827</IdentificationCardNumber>
            <DisplayName>חננאל שרעבי</DisplayName>
            <JudicialTypeName>הרכב שופטים</JudicialTypeName>
            <CaseJudicialGroupNumber>573958</CaseJudicialGroupNumber>
            <FirstName>חננאל</FirstName>
            <LastName>שרעבי</LastName>
            <JudicialPersonTitle>שופט</JudicialPersonTitle>
          </CaseJudicalPersonActive>
          <CaseJudicalPersonActive>
            <CaseID>81064200</CaseID>
            <JudicialPersonID>057955775@GOV.IL</JudicialPersonID>
            <JudicialPersonTypeID>1</JudicialPersonTypeID>
            <JudicialTypeID>3</JudicialTypeID>
            <IsChairman>false</IsChairman>
            <TreatmentStartDate>2024-03-25T08:55:47.63+02:00</TreatmentStartDate>
            <TreatmentFinishDate>9999-12-31T23:59:59.997+02:00</TreatmentFinishDate>
            <IdentificationCardNumber>057955775</IdentificationCardNumber>
            <DisplayName>אספרנצה אלון</DisplayName>
            <JudicialTypeName>הרכב שופטים</JudicialTypeName>
            <CaseJudicialGroupNumber>573958</CaseJudicialGroupNumber>
            <FirstName>אספרנצה</FirstName>
            <LastName>אלון</LastName>
            <JudicialPersonTitle>שופט</JudicialPersonTitle>
          </CaseJudicalPersonActive>
          <CaseJudicalPersonActive>
            <CaseID>81064200</CaseID>
            <JudicialPersonID>058677980@GOV.IL</JudicialPersonID>
            <JudicialPersonTypeID>1</JudicialPersonTypeID>
            <JudicialTypeID>3</JudicialTypeID>
            <IsChairman>false</IsChairman>
            <TreatmentStartDate>2024-03-25T08:55:47.63+02:00</TreatmentStartDate>
            <TreatmentFinishDate>9999-12-31T23:59:59.997+02:00</TreatmentFinishDate>
            <IdentificationCardNumber>058677980</IdentificationCardNumber>
            <DisplayName>אריה נאמן</DisplayName>
            <JudicialTypeName>הרכב שופטים</JudicialTypeName>
            <CaseJudicialGroupNumber>573958</CaseJudicialGroupNumber>
            <FirstName>אריה</FirstName>
            <LastName>נאמן</LastName>
            <JudicialPersonTitle>שופט</JudicialPersonTitle>
          </CaseJudicalPersonActive>
        </CaseJudicialPersonPresentationDS>
        <CasePartyID>267557902</CasePartyID>
        <PartyTypeID>1</PartyTypeID>
        <ActivityStatusID>1</ActivityStatusID>
        <PartyAliasID>5</PartyAliasID>
        <PartyAliasName>מערער</PartyAliasName>
        <OrdinalNumber>1</OrdinalNumber>
        <LegalEntityID>69807035</LegalEntityID>
        <CaseLegalEntityID>128112261</CaseLegalEntityID>
        <AuthenticationTypeID>1</AuthenticationTypeID>
        <AuthenticationTypeName>ת"ז</AuthenticationTypeName>
        <LegalEntityNumber>038097549</LegalEntityNumber>
        <IsMainPartyType>true</IsMainPartyType>
        <CaseDisplayIdentifier>25790-03-24</CaseDisplayIdentifier>
        <CaseTypeID>63</CaseTypeID>
        <CaseTypeName>ערעור משפחה (עמ"ש)</CaseTypeName>
        <CaseName>טובול נ' טובול</CaseName>
        <FullAddress/>
        <MotionID>0</MotionID>
        <CasePleaID>0</CasePleaID>
        <FatherName>יוסף</FatherName>
        <LinkedCaseID>0</LinkedCaseID>
        <PartyID>1</PartyID>
        <CasePartyCategoryID>2</CasePartyCategoryID>
        <PleaTypeID>6</PleaTypeID>
        <GroupPartyAlias>מערערים</GroupPartyAlias>
        <IsConverted>false</IsConverted>
        <LegalEntityRegisteredNameID>9530673</LegalEntityRegisteredNameID>
        <LegalEntityNameID>91672448</LegalEntityNameID>
        <RepresentatedNamesOfAssistant/>
        <LegalEntityTypeID>1</LegalEntityTypeID>
        <IsVerdictExists>false</IsVerdictExists>
        <IsAsirAzir>false</IsAsirAzir>
        <MainAndSecSpec/>
        <IsPublicationProhibited>false</IsPublicationProhibited>
        <PublicationProhibitedFullName>ספיר דונה טובול</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ליאורה אוחנה</FullName>
        <FirstName>ליאורה</FirstName>
        <LastName>אוחנה</LastName>
        <PartyPropertyName/>
        <AuthenticationTypeAndNumber>מ.ר. 28311</AuthenticationTypeAndNumber>
        <RepresentatedOrRepresentativesNames>ספיר דונה טובול</RepresentatedOrRepresentativesNames>
        <RepresentatedOrRepresentativesCount>1</RepresentatedOrRepresentativesCount>
        <InvitedBy/>
        <CaseID>81064200</CaseID>
        <CaseJudicialPersonPresentationDS>
          <CaseJudicalPersonActive>
            <CaseID>81064200</CaseID>
            <JudicialPersonID>056479827@GOV.IL</JudicialPersonID>
            <JudicialPersonTypeID>1</JudicialPersonTypeID>
            <JudicialTypeID>3</JudicialTypeID>
            <IsChairman>true</IsChairman>
            <TreatmentStartDate>2024-03-25T08:55:47.63+02:00</TreatmentStartDate>
            <TreatmentFinishDate>9999-12-31T23:59:59.997+02:00</TreatmentFinishDate>
            <IdentificationCardNumber>056479827</IdentificationCardNumber>
            <DisplayName>חננאל שרעבי</DisplayName>
            <JudicialTypeName>הרכב שופטים</JudicialTypeName>
            <CaseJudicialGroupNumber>573958</CaseJudicialGroupNumber>
            <FirstName>חננאל</FirstName>
            <LastName>שרעבי</LastName>
            <JudicialPersonTitle>שופט</JudicialPersonTitle>
          </CaseJudicalPersonActive>
          <CaseJudicalPersonActive>
            <CaseID>81064200</CaseID>
            <JudicialPersonID>057955775@GOV.IL</JudicialPersonID>
            <JudicialPersonTypeID>1</JudicialPersonTypeID>
            <JudicialTypeID>3</JudicialTypeID>
            <IsChairman>false</IsChairman>
            <TreatmentStartDate>2024-03-25T08:55:47.63+02:00</TreatmentStartDate>
            <TreatmentFinishDate>9999-12-31T23:59:59.997+02:00</TreatmentFinishDate>
            <IdentificationCardNumber>057955775</IdentificationCardNumber>
            <DisplayName>אספרנצה אלון</DisplayName>
            <JudicialTypeName>הרכב שופטים</JudicialTypeName>
            <CaseJudicialGroupNumber>573958</CaseJudicialGroupNumber>
            <FirstName>אספרנצה</FirstName>
            <LastName>אלון</LastName>
            <JudicialPersonTitle>שופט</JudicialPersonTitle>
          </CaseJudicalPersonActive>
          <CaseJudicalPersonActive>
            <CaseID>81064200</CaseID>
            <JudicialPersonID>058677980@GOV.IL</JudicialPersonID>
            <JudicialPersonTypeID>1</JudicialPersonTypeID>
            <JudicialTypeID>3</JudicialTypeID>
            <IsChairman>false</IsChairman>
            <TreatmentStartDate>2024-03-25T08:55:47.63+02:00</TreatmentStartDate>
            <TreatmentFinishDate>9999-12-31T23:59:59.997+02:00</TreatmentFinishDate>
            <IdentificationCardNumber>058677980</IdentificationCardNumber>
            <DisplayName>אריה נאמן</DisplayName>
            <JudicialTypeName>הרכב שופטים</JudicialTypeName>
            <CaseJudicialGroupNumber>573958</CaseJudicialGroupNumber>
            <FirstName>אריה</FirstName>
            <LastName>נאמן</LastName>
            <JudicialPersonTitle>שופט</JudicialPersonTitle>
          </CaseJudicalPersonActive>
        </CaseJudicialPersonPresentationDS>
        <CasePartyID>267557904</CasePartyID>
        <PartyTypeID>2</PartyTypeID>
        <ActivityStatusID>1</ActivityStatusID>
        <PartyAliasID>24</PartyAliasID>
        <PartyAliasName>בא כוח מערערים</PartyAliasName>
        <OrdinalNumber>1</OrdinalNumber>
        <LegalEntityID>388759</LegalEntityID>
        <CaseLegalEntityID>128112263</CaseLegalEntityID>
        <AuthenticationTypeID>4</AuthenticationTypeID>
        <AuthenticationTypeName>מ.ר.</AuthenticationTypeName>
        <LegalEntityNumber>28311</LegalEntityNumber>
        <IsMainPartyType>true</IsMainPartyType>
        <CaseDisplayIdentifier>25790-03-24</CaseDisplayIdentifier>
        <CaseTypeID>63</CaseTypeID>
        <CaseTypeName>ערעור משפחה (עמ"ש)</CaseTypeName>
        <CaseName>טובול נ' טובול</CaseName>
        <FullAddress>העצמאות 43 חיפה קומה 5</FullAddress>
        <EmailAddress>liora@lioraohana.com</EmailAddress>
        <MotionID>0</MotionID>
        <CasePleaID>0</CasePleaID>
        <LinkedCaseID>0</LinkedCaseID>
        <PartyID>1</PartyID>
        <CasePartyCategoryID>2</CasePartyCategoryID>
        <LegalEntityAddressID>431741</LegalEntityAddressID>
        <LegalEntityEmailAddressID>68162846</LegalEntityEmailAddressID>
        <PleaTypeID>6</PleaTypeID>
        <LawyerOfficeName>משרד עו"ד: ליאורה אוחנה</LawyerOfficeName>
        <LawyerOfficeID>429403</LawyerOfficeID>
        <GroupPartyAlias/>
        <IsConverted>false</IsConverted>
        <LegalEntityNameID>9743</LegalEntityNameID>
        <RepresentatedNamesOfAssistant/>
        <LegalEntityTypeID>4</LegalEntityTypeID>
        <IsVerdictExists>false</IsVerdictExists>
        <IsAsirAzir>false</IsAsirAzir>
        <MainAndSecSpec/>
        <IsPublicationProhibited>false</IsPublicationProhibited>
        <PublicationProhibitedFullName>ליאורה אוחנה</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מאור טובול</FullName>
        <FirstName>מאור</FirstName>
        <LastName>טובול</LastName>
        <PartyPropertyName/>
        <AuthenticationTypeAndNumber>ת"ז 300319522</AuthenticationTypeAndNumber>
        <RepresentatedOrRepresentativesNames/>
        <RepresentatedOrRepresentativesCount>0</RepresentatedOrRepresentativesCount>
        <InvitedBy/>
        <CaseID>81064200</CaseID>
        <CaseJudicialPersonPresentationDS>
          <CaseJudicalPersonActive>
            <CaseID>81064200</CaseID>
            <JudicialPersonID>056479827@GOV.IL</JudicialPersonID>
            <JudicialPersonTypeID>1</JudicialPersonTypeID>
            <JudicialTypeID>3</JudicialTypeID>
            <IsChairman>true</IsChairman>
            <TreatmentStartDate>2024-03-25T08:55:47.63+02:00</TreatmentStartDate>
            <TreatmentFinishDate>9999-12-31T23:59:59.997+02:00</TreatmentFinishDate>
            <IdentificationCardNumber>056479827</IdentificationCardNumber>
            <DisplayName>חננאל שרעבי</DisplayName>
            <JudicialTypeName>הרכב שופטים</JudicialTypeName>
            <CaseJudicialGroupNumber>573958</CaseJudicialGroupNumber>
            <FirstName>חננאל</FirstName>
            <LastName>שרעבי</LastName>
            <JudicialPersonTitle>שופט</JudicialPersonTitle>
          </CaseJudicalPersonActive>
          <CaseJudicalPersonActive>
            <CaseID>81064200</CaseID>
            <JudicialPersonID>057955775@GOV.IL</JudicialPersonID>
            <JudicialPersonTypeID>1</JudicialPersonTypeID>
            <JudicialTypeID>3</JudicialTypeID>
            <IsChairman>false</IsChairman>
            <TreatmentStartDate>2024-03-25T08:55:47.63+02:00</TreatmentStartDate>
            <TreatmentFinishDate>9999-12-31T23:59:59.997+02:00</TreatmentFinishDate>
            <IdentificationCardNumber>057955775</IdentificationCardNumber>
            <DisplayName>אספרנצה אלון</DisplayName>
            <JudicialTypeName>הרכב שופטים</JudicialTypeName>
            <CaseJudicialGroupNumber>573958</CaseJudicialGroupNumber>
            <FirstName>אספרנצה</FirstName>
            <LastName>אלון</LastName>
            <JudicialPersonTitle>שופט</JudicialPersonTitle>
          </CaseJudicalPersonActive>
          <CaseJudicalPersonActive>
            <CaseID>81064200</CaseID>
            <JudicialPersonID>058677980@GOV.IL</JudicialPersonID>
            <JudicialPersonTypeID>1</JudicialPersonTypeID>
            <JudicialTypeID>3</JudicialTypeID>
            <IsChairman>false</IsChairman>
            <TreatmentStartDate>2024-03-25T08:55:47.63+02:00</TreatmentStartDate>
            <TreatmentFinishDate>9999-12-31T23:59:59.997+02:00</TreatmentFinishDate>
            <IdentificationCardNumber>058677980</IdentificationCardNumber>
            <DisplayName>אריה נאמן</DisplayName>
            <JudicialTypeName>הרכב שופטים</JudicialTypeName>
            <CaseJudicialGroupNumber>573958</CaseJudicialGroupNumber>
            <FirstName>אריה</FirstName>
            <LastName>נאמן</LastName>
            <JudicialPersonTitle>שופט</JudicialPersonTitle>
          </CaseJudicalPersonActive>
        </CaseJudicialPersonPresentationDS>
        <CasePartyID>267557903</CasePartyID>
        <PartyTypeID>1</PartyTypeID>
        <ActivityStatusID>1</ActivityStatusID>
        <PartyAliasID>4</PartyAliasID>
        <PartyAliasName>משיב</PartyAliasName>
        <OrdinalNumber>1</OrdinalNumber>
        <LegalEntityID>70434934</LegalEntityID>
        <CaseLegalEntityID>128112262</CaseLegalEntityID>
        <AuthenticationTypeID>1</AuthenticationTypeID>
        <AuthenticationTypeName>ת"ז</AuthenticationTypeName>
        <LegalEntityNumber>300319522</LegalEntityNumber>
        <IsMainPartyType>true</IsMainPartyType>
        <CaseDisplayIdentifier>25790-03-24</CaseDisplayIdentifier>
        <CaseTypeID>63</CaseTypeID>
        <CaseTypeName>ערעור משפחה (עמ"ש)</CaseTypeName>
        <CaseName>טובול נ' טובול</CaseName>
        <FullAddress>בן גוריון 95/123 קריית מוצקין </FullAddress>
        <EmailAddress>Maor1987@gmail.com</EmailAddress>
        <MotionID>0</MotionID>
        <CasePleaID>0</CasePleaID>
        <BirthDate>1987-01-12T00:00:00+02:00</BirthDate>
        <FatherName>יוסף</FatherName>
        <LinkedCaseID>0</LinkedCaseID>
        <PartyID>2</PartyID>
        <CasePartyCategoryID>2</CasePartyCategoryID>
        <LegalEntityAddressID>87660498</LegalEntityAddressID>
        <LegalEntityEmailAddressID>68364271</LegalEntityEmailAddressID>
        <PleaTypeID>6</PleaTypeID>
        <GroupPartyAlias>משיבים</GroupPartyAlias>
        <IsConverted>false</IsConverted>
        <LegalEntityRegisteredNameID>9564497</LegalEntityRegisteredNameID>
        <LegalEntityNameID>91672449</LegalEntityNameID>
        <RepresentatedNamesOfAssistant/>
        <LegalEntityTypeID>1</LegalEntityTypeID>
        <IsVerdictExists>false</IsVerdictExists>
        <IsAsirAzir>false</IsAsirAzir>
        <MainAndSecSpec/>
        <IsPublicationProhibited>false</IsPublicationProhibited>
        <PublicationProhibitedFullName>מאור טובול</PublicationProhibitedFullName>
      </CaseParties>
    </CasePartiesSelectionDS>
    <DecisionName>פסק דין  שניתנה ע"י  חננאל שרעבי</DecisionName>
    <CourtDisplayName>בית המשפט המחוזי בחיפה בשבתו כבית-משפט לערעורים אזרחיים</CourtDisplayName>
    <IsCaseJudgePanel>true</IsCaseJudgePanel>
    <DecisionSignatureDate>2024-09-18T13:06:03.891356+03:00</DecisionSignatureDate>
    <OpenCaseDate>2024-03-12T09:51:00+02:00</OpenCaseDate>
    <CaseFeeSum>0.000</CaseFeeSum>
    <DecisionTypeID>2</DecisionTypeID>
    <DecisionSignatureUserName>חננאל שרעבי</DecisionSignatureUserName>
    <DecisionSignatureDateHebrew>2024-09-18T13:06:03.891356+03:00</DecisionSignatureDateHebrew>
    <DecisionWriterID>056479827@GOV.IL</DecisionWriterID>
    <CourtAddress>רח' פלי"ם 12 היכל המשפט, חיפה 33095</CourtAddress>
    <IsAutoTextInCaseExist>true</IsAutoTextInCaseExist>
    <DecisionSignatureRoleName>שופט</DecisionSignatureRoleName>
    <DecisionSignatureUserTitleName>שופט</DecisionSignatureUserTitleName>
    <CaseName>טובול נ' טובול</CaseName>
    <DecisionNumberInCase>19</DecisionNumberInCase>
  </dt_Decision>
  <dt_DecisionCase>
    <DecisionID>0</DecisionID>
    <CaseID>81064200</CaseID>
    <CaseJudicialPersonPresentationDS>
      <CaseJudicalPersonActive>
        <CaseID>81064200</CaseID>
        <JudicialPersonID>056479827@GOV.IL</JudicialPersonID>
        <JudicialPersonTypeID>1</JudicialPersonTypeID>
        <JudicialTypeID>3</JudicialTypeID>
        <IsChairman>true</IsChairman>
        <TreatmentStartDate>2024-03-25T08:55:47.63+02:00</TreatmentStartDate>
        <TreatmentFinishDate>9999-12-31T23:59:59.997+02:00</TreatmentFinishDate>
        <IdentificationCardNumber>056479827</IdentificationCardNumber>
        <DisplayName>חננאל שרעבי</DisplayName>
        <JudicialTypeName>הרכב שופטים</JudicialTypeName>
        <CaseJudicialGroupNumber>573958</CaseJudicialGroupNumber>
        <FirstName>חננאל</FirstName>
        <LastName>שרעבי</LastName>
        <JudicialPersonTitle>שופט</JudicialPersonTitle>
      </CaseJudicalPersonActive>
      <CaseJudicalPersonActive>
        <CaseID>81064200</CaseID>
        <JudicialPersonID>057955775@GOV.IL</JudicialPersonID>
        <JudicialPersonTypeID>1</JudicialPersonTypeID>
        <JudicialTypeID>3</JudicialTypeID>
        <IsChairman>false</IsChairman>
        <TreatmentStartDate>2024-03-25T08:55:47.63+02:00</TreatmentStartDate>
        <TreatmentFinishDate>9999-12-31T23:59:59.997+02:00</TreatmentFinishDate>
        <IdentificationCardNumber>057955775</IdentificationCardNumber>
        <DisplayName>אספרנצה אלון</DisplayName>
        <JudicialTypeName>הרכב שופטים</JudicialTypeName>
        <CaseJudicialGroupNumber>573958</CaseJudicialGroupNumber>
        <FirstName>אספרנצה</FirstName>
        <LastName>אלון</LastName>
        <JudicialPersonTitle>שופט</JudicialPersonTitle>
      </CaseJudicalPersonActive>
      <CaseJudicalPersonActive>
        <CaseID>81064200</CaseID>
        <JudicialPersonID>058677980@GOV.IL</JudicialPersonID>
        <JudicialPersonTypeID>1</JudicialPersonTypeID>
        <JudicialTypeID>3</JudicialTypeID>
        <IsChairman>false</IsChairman>
        <TreatmentStartDate>2024-03-25T08:55:47.63+02:00</TreatmentStartDate>
        <TreatmentFinishDate>9999-12-31T23:59:59.997+02:00</TreatmentFinishDate>
        <IdentificationCardNumber>058677980</IdentificationCardNumber>
        <DisplayName>אריה נאמן</DisplayName>
        <JudicialTypeName>הרכב שופטים</JudicialTypeName>
        <CaseJudicialGroupNumber>573958</CaseJudicialGroupNumber>
        <FirstName>אריה</FirstName>
        <LastName>נאמן</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ספיר דונה טובול</FullName>
        <FirstName>ספיר דונה</FirstName>
        <LastName>טובול</LastName>
        <PartyPropertyName/>
        <AuthenticationTypeAndNumber>ת"ז 038097549</AuthenticationTypeAndNumber>
        <RepresentatedOrRepresentativesNames>ליאורה אוחנה</RepresentatedOrRepresentativesNames>
        <RepresentatedOrRepresentativesCount>1</RepresentatedOrRepresentativesCount>
        <InvitedBy/>
        <CaseID>81064200</CaseID>
        <CaseJudicialPersonPresentationDS>
          <CaseJudicalPersonActive>
            <CaseID>81064200</CaseID>
            <JudicialPersonID>056479827@GOV.IL</JudicialPersonID>
            <JudicialPersonTypeID>1</JudicialPersonTypeID>
            <JudicialTypeID>3</JudicialTypeID>
            <IsChairman>true</IsChairman>
            <TreatmentStartDate>2024-03-25T08:55:47.63+02:00</TreatmentStartDate>
            <TreatmentFinishDate>9999-12-31T23:59:59.997+02:00</TreatmentFinishDate>
            <IdentificationCardNumber>056479827</IdentificationCardNumber>
            <DisplayName>חננאל שרעבי</DisplayName>
            <JudicialTypeName>הרכב שופטים</JudicialTypeName>
            <CaseJudicialGroupNumber>573958</CaseJudicialGroupNumber>
            <FirstName>חננאל</FirstName>
            <LastName>שרעבי</LastName>
            <JudicialPersonTitle>שופט</JudicialPersonTitle>
          </CaseJudicalPersonActive>
          <CaseJudicalPersonActive>
            <CaseID>81064200</CaseID>
            <JudicialPersonID>057955775@GOV.IL</JudicialPersonID>
            <JudicialPersonTypeID>1</JudicialPersonTypeID>
            <JudicialTypeID>3</JudicialTypeID>
            <IsChairman>false</IsChairman>
            <TreatmentStartDate>2024-03-25T08:55:47.63+02:00</TreatmentStartDate>
            <TreatmentFinishDate>9999-12-31T23:59:59.997+02:00</TreatmentFinishDate>
            <IdentificationCardNumber>057955775</IdentificationCardNumber>
            <DisplayName>אספרנצה אלון</DisplayName>
            <JudicialTypeName>הרכב שופטים</JudicialTypeName>
            <CaseJudicialGroupNumber>573958</CaseJudicialGroupNumber>
            <FirstName>אספרנצה</FirstName>
            <LastName>אלון</LastName>
            <JudicialPersonTitle>שופט</JudicialPersonTitle>
          </CaseJudicalPersonActive>
          <CaseJudicalPersonActive>
            <CaseID>81064200</CaseID>
            <JudicialPersonID>058677980@GOV.IL</JudicialPersonID>
            <JudicialPersonTypeID>1</JudicialPersonTypeID>
            <JudicialTypeID>3</JudicialTypeID>
            <IsChairman>false</IsChairman>
            <TreatmentStartDate>2024-03-25T08:55:47.63+02:00</TreatmentStartDate>
            <TreatmentFinishDate>9999-12-31T23:59:59.997+02:00</TreatmentFinishDate>
            <IdentificationCardNumber>058677980</IdentificationCardNumber>
            <DisplayName>אריה נאמן</DisplayName>
            <JudicialTypeName>הרכב שופטים</JudicialTypeName>
            <CaseJudicialGroupNumber>573958</CaseJudicialGroupNumber>
            <FirstName>אריה</FirstName>
            <LastName>נאמן</LastName>
            <JudicialPersonTitle>שופט</JudicialPersonTitle>
          </CaseJudicalPersonActive>
        </CaseJudicialPersonPresentationDS>
        <CasePartyID>267557902</CasePartyID>
        <PartyTypeID>1</PartyTypeID>
        <ActivityStatusID>1</ActivityStatusID>
        <PartyAliasID>5</PartyAliasID>
        <PartyAliasName>מערער</PartyAliasName>
        <OrdinalNumber>1</OrdinalNumber>
        <LegalEntityID>69807035</LegalEntityID>
        <CaseLegalEntityID>128112261</CaseLegalEntityID>
        <AuthenticationTypeID>1</AuthenticationTypeID>
        <AuthenticationTypeName>ת"ז</AuthenticationTypeName>
        <LegalEntityNumber>038097549</LegalEntityNumber>
        <IsMainPartyType>true</IsMainPartyType>
        <CaseDisplayIdentifier>25790-03-24</CaseDisplayIdentifier>
        <CaseTypeID>63</CaseTypeID>
        <CaseTypeName>ערעור משפחה (עמ"ש)</CaseTypeName>
        <CaseName>טובול נ' טובול</CaseName>
        <FullAddress/>
        <MotionID>0</MotionID>
        <CasePleaID>0</CasePleaID>
        <FatherName>יוסף</FatherName>
        <LinkedCaseID>0</LinkedCaseID>
        <PartyID>1</PartyID>
        <CasePartyCategoryID>2</CasePartyCategoryID>
        <PleaTypeID>6</PleaTypeID>
        <GroupPartyAlias>מערערים</GroupPartyAlias>
        <IsConverted>false</IsConverted>
        <LegalEntityRegisteredNameID>9530673</LegalEntityRegisteredNameID>
        <LegalEntityNameID>91672448</LegalEntityNameID>
        <RepresentatedNamesOfAssistant/>
        <LegalEntityTypeID>1</LegalEntityTypeID>
        <IsVerdictExists>false</IsVerdictExists>
        <IsAsirAzir>false</IsAsirAzir>
        <MainAndSecSpec/>
        <IsPublicationProhibited>false</IsPublicationProhibited>
        <PublicationProhibitedFullName>ספיר דונה טובול</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ליאורה אוחנה</FullName>
        <FirstName>ליאורה</FirstName>
        <LastName>אוחנה</LastName>
        <PartyPropertyName/>
        <AuthenticationTypeAndNumber>מ.ר. 28311</AuthenticationTypeAndNumber>
        <RepresentatedOrRepresentativesNames>ספיר דונה טובול</RepresentatedOrRepresentativesNames>
        <RepresentatedOrRepresentativesCount>1</RepresentatedOrRepresentativesCount>
        <InvitedBy/>
        <CaseID>81064200</CaseID>
        <CaseJudicialPersonPresentationDS>
          <CaseJudicalPersonActive>
            <CaseID>81064200</CaseID>
            <JudicialPersonID>056479827@GOV.IL</JudicialPersonID>
            <JudicialPersonTypeID>1</JudicialPersonTypeID>
            <JudicialTypeID>3</JudicialTypeID>
            <IsChairman>true</IsChairman>
            <TreatmentStartDate>2024-03-25T08:55:47.63+02:00</TreatmentStartDate>
            <TreatmentFinishDate>9999-12-31T23:59:59.997+02:00</TreatmentFinishDate>
            <IdentificationCardNumber>056479827</IdentificationCardNumber>
            <DisplayName>חננאל שרעבי</DisplayName>
            <JudicialTypeName>הרכב שופטים</JudicialTypeName>
            <CaseJudicialGroupNumber>573958</CaseJudicialGroupNumber>
            <FirstName>חננאל</FirstName>
            <LastName>שרעבי</LastName>
            <JudicialPersonTitle>שופט</JudicialPersonTitle>
          </CaseJudicalPersonActive>
          <CaseJudicalPersonActive>
            <CaseID>81064200</CaseID>
            <JudicialPersonID>057955775@GOV.IL</JudicialPersonID>
            <JudicialPersonTypeID>1</JudicialPersonTypeID>
            <JudicialTypeID>3</JudicialTypeID>
            <IsChairman>false</IsChairman>
            <TreatmentStartDate>2024-03-25T08:55:47.63+02:00</TreatmentStartDate>
            <TreatmentFinishDate>9999-12-31T23:59:59.997+02:00</TreatmentFinishDate>
            <IdentificationCardNumber>057955775</IdentificationCardNumber>
            <DisplayName>אספרנצה אלון</DisplayName>
            <JudicialTypeName>הרכב שופטים</JudicialTypeName>
            <CaseJudicialGroupNumber>573958</CaseJudicialGroupNumber>
            <FirstName>אספרנצה</FirstName>
            <LastName>אלון</LastName>
            <JudicialPersonTitle>שופט</JudicialPersonTitle>
          </CaseJudicalPersonActive>
          <CaseJudicalPersonActive>
            <CaseID>81064200</CaseID>
            <JudicialPersonID>058677980@GOV.IL</JudicialPersonID>
            <JudicialPersonTypeID>1</JudicialPersonTypeID>
            <JudicialTypeID>3</JudicialTypeID>
            <IsChairman>false</IsChairman>
            <TreatmentStartDate>2024-03-25T08:55:47.63+02:00</TreatmentStartDate>
            <TreatmentFinishDate>9999-12-31T23:59:59.997+02:00</TreatmentFinishDate>
            <IdentificationCardNumber>058677980</IdentificationCardNumber>
            <DisplayName>אריה נאמן</DisplayName>
            <JudicialTypeName>הרכב שופטים</JudicialTypeName>
            <CaseJudicialGroupNumber>573958</CaseJudicialGroupNumber>
            <FirstName>אריה</FirstName>
            <LastName>נאמן</LastName>
            <JudicialPersonTitle>שופט</JudicialPersonTitle>
          </CaseJudicalPersonActive>
        </CaseJudicialPersonPresentationDS>
        <CasePartyID>267557904</CasePartyID>
        <PartyTypeID>2</PartyTypeID>
        <ActivityStatusID>1</ActivityStatusID>
        <PartyAliasID>24</PartyAliasID>
        <PartyAliasName>בא כוח מערערים</PartyAliasName>
        <OrdinalNumber>1</OrdinalNumber>
        <LegalEntityID>388759</LegalEntityID>
        <CaseLegalEntityID>128112263</CaseLegalEntityID>
        <AuthenticationTypeID>4</AuthenticationTypeID>
        <AuthenticationTypeName>מ.ר.</AuthenticationTypeName>
        <LegalEntityNumber>28311</LegalEntityNumber>
        <IsMainPartyType>true</IsMainPartyType>
        <CaseDisplayIdentifier>25790-03-24</CaseDisplayIdentifier>
        <CaseTypeID>63</CaseTypeID>
        <CaseTypeName>ערעור משפחה (עמ"ש)</CaseTypeName>
        <CaseName>טובול נ' טובול</CaseName>
        <FullAddress>העצמאות 43 חיפה קומה 5</FullAddress>
        <EmailAddress>liora@lioraohana.com</EmailAddress>
        <MotionID>0</MotionID>
        <CasePleaID>0</CasePleaID>
        <LinkedCaseID>0</LinkedCaseID>
        <PartyID>1</PartyID>
        <CasePartyCategoryID>2</CasePartyCategoryID>
        <LegalEntityAddressID>431741</LegalEntityAddressID>
        <LegalEntityEmailAddressID>68162846</LegalEntityEmailAddressID>
        <PleaTypeID>6</PleaTypeID>
        <LawyerOfficeName>משרד עו"ד: ליאורה אוחנה</LawyerOfficeName>
        <LawyerOfficeID>429403</LawyerOfficeID>
        <GroupPartyAlias/>
        <IsConverted>false</IsConverted>
        <LegalEntityNameID>9743</LegalEntityNameID>
        <RepresentatedNamesOfAssistant/>
        <LegalEntityTypeID>4</LegalEntityTypeID>
        <IsVerdictExists>false</IsVerdictExists>
        <IsAsirAzir>false</IsAsirAzir>
        <MainAndSecSpec/>
        <IsPublicationProhibited>false</IsPublicationProhibited>
        <PublicationProhibitedFullName>ליאורה אוחנה</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מאור טובול</FullName>
        <FirstName>מאור</FirstName>
        <LastName>טובול</LastName>
        <PartyPropertyName/>
        <AuthenticationTypeAndNumber>ת"ז 300319522</AuthenticationTypeAndNumber>
        <RepresentatedOrRepresentativesNames/>
        <RepresentatedOrRepresentativesCount>0</RepresentatedOrRepresentativesCount>
        <InvitedBy/>
        <CaseID>81064200</CaseID>
        <CaseJudicialPersonPresentationDS>
          <CaseJudicalPersonActive>
            <CaseID>81064200</CaseID>
            <JudicialPersonID>056479827@GOV.IL</JudicialPersonID>
            <JudicialPersonTypeID>1</JudicialPersonTypeID>
            <JudicialTypeID>3</JudicialTypeID>
            <IsChairman>true</IsChairman>
            <TreatmentStartDate>2024-03-25T08:55:47.63+02:00</TreatmentStartDate>
            <TreatmentFinishDate>9999-12-31T23:59:59.997+02:00</TreatmentFinishDate>
            <IdentificationCardNumber>056479827</IdentificationCardNumber>
            <DisplayName>חננאל שרעבי</DisplayName>
            <JudicialTypeName>הרכב שופטים</JudicialTypeName>
            <CaseJudicialGroupNumber>573958</CaseJudicialGroupNumber>
            <FirstName>חננאל</FirstName>
            <LastName>שרעבי</LastName>
            <JudicialPersonTitle>שופט</JudicialPersonTitle>
          </CaseJudicalPersonActive>
          <CaseJudicalPersonActive>
            <CaseID>81064200</CaseID>
            <JudicialPersonID>057955775@GOV.IL</JudicialPersonID>
            <JudicialPersonTypeID>1</JudicialPersonTypeID>
            <JudicialTypeID>3</JudicialTypeID>
            <IsChairman>false</IsChairman>
            <TreatmentStartDate>2024-03-25T08:55:47.63+02:00</TreatmentStartDate>
            <TreatmentFinishDate>9999-12-31T23:59:59.997+02:00</TreatmentFinishDate>
            <IdentificationCardNumber>057955775</IdentificationCardNumber>
            <DisplayName>אספרנצה אלון</DisplayName>
            <JudicialTypeName>הרכב שופטים</JudicialTypeName>
            <CaseJudicialGroupNumber>573958</CaseJudicialGroupNumber>
            <FirstName>אספרנצה</FirstName>
            <LastName>אלון</LastName>
            <JudicialPersonTitle>שופט</JudicialPersonTitle>
          </CaseJudicalPersonActive>
          <CaseJudicalPersonActive>
            <CaseID>81064200</CaseID>
            <JudicialPersonID>058677980@GOV.IL</JudicialPersonID>
            <JudicialPersonTypeID>1</JudicialPersonTypeID>
            <JudicialTypeID>3</JudicialTypeID>
            <IsChairman>false</IsChairman>
            <TreatmentStartDate>2024-03-25T08:55:47.63+02:00</TreatmentStartDate>
            <TreatmentFinishDate>9999-12-31T23:59:59.997+02:00</TreatmentFinishDate>
            <IdentificationCardNumber>058677980</IdentificationCardNumber>
            <DisplayName>אריה נאמן</DisplayName>
            <JudicialTypeName>הרכב שופטים</JudicialTypeName>
            <CaseJudicialGroupNumber>573958</CaseJudicialGroupNumber>
            <FirstName>אריה</FirstName>
            <LastName>נאמן</LastName>
            <JudicialPersonTitle>שופט</JudicialPersonTitle>
          </CaseJudicalPersonActive>
        </CaseJudicialPersonPresentationDS>
        <CasePartyID>267557903</CasePartyID>
        <PartyTypeID>1</PartyTypeID>
        <ActivityStatusID>1</ActivityStatusID>
        <PartyAliasID>4</PartyAliasID>
        <PartyAliasName>משיב</PartyAliasName>
        <OrdinalNumber>1</OrdinalNumber>
        <LegalEntityID>70434934</LegalEntityID>
        <CaseLegalEntityID>128112262</CaseLegalEntityID>
        <AuthenticationTypeID>1</AuthenticationTypeID>
        <AuthenticationTypeName>ת"ז</AuthenticationTypeName>
        <LegalEntityNumber>300319522</LegalEntityNumber>
        <IsMainPartyType>true</IsMainPartyType>
        <CaseDisplayIdentifier>25790-03-24</CaseDisplayIdentifier>
        <CaseTypeID>63</CaseTypeID>
        <CaseTypeName>ערעור משפחה (עמ"ש)</CaseTypeName>
        <CaseName>טובול נ' טובול</CaseName>
        <FullAddress>בן גוריון 95/123 קריית מוצקין </FullAddress>
        <EmailAddress>Maor1987@gmail.com</EmailAddress>
        <MotionID>0</MotionID>
        <CasePleaID>0</CasePleaID>
        <BirthDate>1987-01-12T00:00:00+02:00</BirthDate>
        <FatherName>יוסף</FatherName>
        <LinkedCaseID>0</LinkedCaseID>
        <PartyID>2</PartyID>
        <CasePartyCategoryID>2</CasePartyCategoryID>
        <LegalEntityAddressID>87660498</LegalEntityAddressID>
        <LegalEntityEmailAddressID>68364271</LegalEntityEmailAddressID>
        <PleaTypeID>6</PleaTypeID>
        <GroupPartyAlias>משיבים</GroupPartyAlias>
        <IsConverted>false</IsConverted>
        <LegalEntityRegisteredNameID>9564497</LegalEntityRegisteredNameID>
        <LegalEntityNameID>91672449</LegalEntityNameID>
        <RepresentatedNamesOfAssistant/>
        <LegalEntityTypeID>1</LegalEntityTypeID>
        <IsVerdictExists>false</IsVerdictExists>
        <IsAsirAzir>false</IsAsirAzir>
        <MainAndSecSpec/>
        <IsPublicationProhibited>false</IsPublicationProhibited>
        <PublicationProhibitedFullName>מאור טובול</PublicationProhibitedFullName>
      </CaseParties>
    </CasePartiesSelectionDS>
    <CaseName>טובול נ' טובול</CaseName>
    <CaseDisplayIdentifier>25790-03-24</CaseDisplayIdentifier>
    <CaseInterestID>10643</CaseInterestID>
    <CaseTypeShortName>עמ"ש</CaseTypeShortName>
  </dt_DecisionCase>
  <dt_DecisionJudgePanel>
    <JudgeID>056479827@GOV.IL</JudgeID>
    <DisplayName>שרעבי</DisplayName>
    <RoleName>שופט</RoleName>
    <UserTitleName>שופט</UserTitleName>
  </dt_DecisionJudgePanel>
  <dt_DecisionJudgePanel>
    <JudgeID>057955775@GOV.IL</JudgeID>
    <DisplayName>אלון</DisplayName>
    <RoleName>שופט</RoleName>
    <UserTitleName>שופטת</UserTitleName>
  </dt_DecisionJudgePanel>
  <dt_DecisionJudgePanel>
    <JudgeID>058677980@GOV.IL</JudgeID>
    <DisplayName>נאמן</DisplayName>
    <RoleName>שופט</RoleName>
    <UserTitleName>שופט</UserTitleName>
  </dt_DecisionJudgePanel>
  <dt_LegalEntityDetails>
    <PartyID>1</PartyID>
    <PartyTypeID>1</PartyTypeID>
    <DecisionID>0</DecisionID>
    <FullName>ספיר דונה טובול</FullName>
    <IsPublicationProhibited>false</IsPublicationProhibited>
  </dt_LegalEntityDetails>
  <dt_LegalEntityDetails>
    <PartyID>2</PartyID>
    <PartyTypeID>1</PartyTypeID>
    <DecisionID>0</DecisionID>
    <StreetName>בן גוריון 95/123</StreetName>
    <CityName>קריית מוצקין</CityName>
    <FullName>מאור טובול</FullName>
    <Email>Maor1987@gmail.com</Email>
    <IsPublicationProhibited>false</IsPublicationProhibited>
  </dt_LegalEntityDetails>
  <dt_LegalEntityDetails>
    <Fax>04-8675557</Fax>
    <Phone>04-8675556</Phone>
    <AddressDesc>קומה 5</AddressDesc>
    <PartyID>1</PartyID>
    <PartyTypeID>2</PartyTypeID>
    <DecisionID>0</DecisionID>
    <StreetName>העצמאות 43</StreetName>
    <CityName>חיפה</CityName>
    <FullName>ליאורה אוחנה</FullName>
    <Email>liora@lioraohana.com</Email>
    <IsPublicationProhibited>false</IsPublicationProhibited>
  </dt_LegalEntityDetails>
  <dt_CaseJudicalPersonActive>
    <CaseJudicalPerson>שופט חננאל שרעבי, שופטת אספרנצה אלון, שופט אריה נאמן</CaseJudicalPerson>
  </dt_CaseJudicalPersonActive>
  <dt_Sitting>
    <PreviousMeetingDate>2024-09-16T10:30:00+03:00</PreviousMeetingDate>
    <PreviousSittingTypeID>5</PreviousSittingTypeID>
    <PreviousMeetingDisplayName>חננאל שרעבי, אספרנצה אלון, אריה נאמן</PreviousMeetingDisplayName>
    <PreviousMeetingUserUPN>056479827@GOV.IL, 057955775@GOV.IL, 058677980@GOV.IL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A85AFD-4BA5-4816-836D-64EB7FEF8B0E}">
  <ds:schemaRefs/>
</ds:datastoreItem>
</file>

<file path=customXml/itemProps2.xml><?xml version="1.0" encoding="utf-8"?>
<ds:datastoreItem xmlns:ds="http://schemas.openxmlformats.org/officeDocument/2006/customXml" ds:itemID="{BEFCC9EA-915A-4463-AEF4-60B6837F4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2422</Words>
  <Characters>12110</Characters>
  <Application>Microsoft Office Word</Application>
  <DocSecurity>0</DocSecurity>
  <Lines>100</Lines>
  <Paragraphs>29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2024-09-26T06:33:00Z</dcterms:created>
  <dcterms:modified xsi:type="dcterms:W3CDTF">2024-09-26T06:33:00Z</dcterms:modified>
</cp:coreProperties>
</file>